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90205A" w:rsidTr="001C6672">
        <w:trPr>
          <w:trHeight w:val="1644"/>
        </w:trPr>
        <w:tc>
          <w:tcPr>
            <w:tcW w:w="3859" w:type="dxa"/>
            <w:tcBorders>
              <w:top w:val="single" w:sz="4" w:space="0" w:color="000000"/>
              <w:left w:val="single" w:sz="4" w:space="0" w:color="000000"/>
              <w:bottom w:val="single" w:sz="4" w:space="0" w:color="000000"/>
              <w:right w:val="single" w:sz="4" w:space="0" w:color="000000"/>
            </w:tcBorders>
          </w:tcPr>
          <w:p w:rsidR="0090205A" w:rsidRDefault="0090205A" w:rsidP="001C6672">
            <w:pPr>
              <w:pStyle w:val="1"/>
              <w:spacing w:line="276" w:lineRule="auto"/>
              <w:rPr>
                <w:lang w:eastAsia="en-US"/>
              </w:rPr>
            </w:pPr>
            <w:r>
              <w:rPr>
                <w:lang w:eastAsia="en-US"/>
              </w:rPr>
              <w:t>РЕСПУБЛИКА АДЫГЕЯ</w:t>
            </w:r>
          </w:p>
          <w:p w:rsidR="0090205A" w:rsidRDefault="0090205A" w:rsidP="001C6672">
            <w:pPr>
              <w:pStyle w:val="1"/>
              <w:spacing w:line="276" w:lineRule="auto"/>
              <w:jc w:val="left"/>
              <w:rPr>
                <w:lang w:eastAsia="en-US"/>
              </w:rPr>
            </w:pPr>
            <w:r>
              <w:rPr>
                <w:lang w:eastAsia="en-US"/>
              </w:rPr>
              <w:t>МУНИЦИПАЛЬНОЕ ОБРАЗОВАНИЕ</w:t>
            </w:r>
          </w:p>
          <w:p w:rsidR="0090205A" w:rsidRDefault="0090205A" w:rsidP="001C6672">
            <w:pPr>
              <w:spacing w:line="276" w:lineRule="auto"/>
              <w:jc w:val="center"/>
              <w:rPr>
                <w:b/>
                <w:bCs/>
                <w:sz w:val="20"/>
                <w:lang w:eastAsia="en-US"/>
              </w:rPr>
            </w:pPr>
            <w:r>
              <w:rPr>
                <w:b/>
                <w:bCs/>
                <w:sz w:val="20"/>
                <w:lang w:eastAsia="en-US"/>
              </w:rPr>
              <w:t>«ХОДЗИНСКОЕ СЕЛЬСКОЕ ПОСЕЛЕНИЕ»</w:t>
            </w:r>
          </w:p>
          <w:p w:rsidR="0090205A" w:rsidRDefault="0090205A" w:rsidP="001C6672">
            <w:pPr>
              <w:pStyle w:val="1"/>
              <w:spacing w:line="276" w:lineRule="auto"/>
              <w:rPr>
                <w:bCs w:val="0"/>
                <w:sz w:val="18"/>
                <w:lang w:eastAsia="en-US"/>
              </w:rPr>
            </w:pPr>
            <w:r>
              <w:rPr>
                <w:lang w:eastAsia="en-US"/>
              </w:rPr>
              <w:t>385438 а. Ходзь, ул. Краснотябрьская , 104</w:t>
            </w:r>
          </w:p>
          <w:p w:rsidR="0090205A" w:rsidRDefault="0090205A" w:rsidP="001C6672">
            <w:pPr>
              <w:spacing w:line="276" w:lineRule="auto"/>
              <w:rPr>
                <w:sz w:val="18"/>
                <w:lang w:eastAsia="en-US"/>
              </w:rPr>
            </w:pPr>
          </w:p>
        </w:tc>
        <w:tc>
          <w:tcPr>
            <w:tcW w:w="1569" w:type="dxa"/>
            <w:tcBorders>
              <w:top w:val="single" w:sz="4" w:space="0" w:color="000000"/>
              <w:left w:val="single" w:sz="4" w:space="0" w:color="000000"/>
              <w:bottom w:val="single" w:sz="4" w:space="0" w:color="000000"/>
              <w:right w:val="single" w:sz="4" w:space="0" w:color="000000"/>
            </w:tcBorders>
          </w:tcPr>
          <w:p w:rsidR="0090205A" w:rsidRDefault="0090205A" w:rsidP="001C6672">
            <w:pPr>
              <w:spacing w:line="276" w:lineRule="auto"/>
              <w:jc w:val="center"/>
              <w:rPr>
                <w:b/>
                <w:sz w:val="18"/>
                <w:lang w:eastAsia="en-US"/>
              </w:rPr>
            </w:pPr>
          </w:p>
          <w:p w:rsidR="0090205A" w:rsidRDefault="0090205A" w:rsidP="001C6672">
            <w:pPr>
              <w:spacing w:line="276" w:lineRule="auto"/>
              <w:jc w:val="center"/>
              <w:rPr>
                <w:lang w:eastAsia="en-US"/>
              </w:rPr>
            </w:pPr>
            <w:r>
              <w:rPr>
                <w:noProof/>
              </w:rPr>
              <w:drawing>
                <wp:inline distT="0" distB="0" distL="0" distR="0" wp14:anchorId="4326456C" wp14:editId="2E420924">
                  <wp:extent cx="885825" cy="7810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90205A" w:rsidRDefault="0090205A" w:rsidP="001C6672">
            <w:pPr>
              <w:pStyle w:val="1"/>
              <w:spacing w:line="276" w:lineRule="auto"/>
              <w:rPr>
                <w:lang w:eastAsia="en-US"/>
              </w:rPr>
            </w:pPr>
          </w:p>
          <w:p w:rsidR="0090205A" w:rsidRDefault="0090205A" w:rsidP="001C6672">
            <w:pPr>
              <w:pStyle w:val="1"/>
              <w:spacing w:line="276" w:lineRule="auto"/>
              <w:rPr>
                <w:sz w:val="18"/>
                <w:lang w:eastAsia="en-US"/>
              </w:rPr>
            </w:pPr>
            <w:r>
              <w:rPr>
                <w:bCs w:val="0"/>
                <w:sz w:val="18"/>
                <w:lang w:eastAsia="en-US"/>
              </w:rPr>
              <w:t>АДЫГЭ РЕСПУБЛИК</w:t>
            </w:r>
          </w:p>
          <w:p w:rsidR="0090205A" w:rsidRDefault="0090205A" w:rsidP="001C6672">
            <w:pPr>
              <w:spacing w:line="276" w:lineRule="auto"/>
              <w:jc w:val="center"/>
              <w:rPr>
                <w:b/>
                <w:sz w:val="18"/>
                <w:lang w:eastAsia="en-US"/>
              </w:rPr>
            </w:pPr>
            <w:r>
              <w:rPr>
                <w:b/>
                <w:sz w:val="18"/>
                <w:lang w:eastAsia="en-US"/>
              </w:rPr>
              <w:t>МУНИЦИПАЛЬНЭ  ГЪЭПСЫК</w:t>
            </w:r>
            <w:r w:rsidRPr="00D37215">
              <w:rPr>
                <w:b/>
                <w:sz w:val="18"/>
                <w:lang w:eastAsia="en-US"/>
              </w:rPr>
              <w:t>I</w:t>
            </w:r>
            <w:r>
              <w:rPr>
                <w:b/>
                <w:sz w:val="18"/>
                <w:lang w:eastAsia="en-US"/>
              </w:rPr>
              <w:t>Э ЗИ</w:t>
            </w:r>
            <w:r w:rsidRPr="00D37215">
              <w:rPr>
                <w:b/>
                <w:sz w:val="18"/>
                <w:lang w:eastAsia="en-US"/>
              </w:rPr>
              <w:t>I</w:t>
            </w:r>
            <w:r>
              <w:rPr>
                <w:b/>
                <w:sz w:val="18"/>
                <w:lang w:eastAsia="en-US"/>
              </w:rPr>
              <w:t>Э «ФЭДЗ  КЪОДЖЭ ПСЭУП</w:t>
            </w:r>
            <w:r w:rsidRPr="00D37215">
              <w:rPr>
                <w:b/>
                <w:sz w:val="18"/>
                <w:lang w:eastAsia="en-US"/>
              </w:rPr>
              <w:t>I</w:t>
            </w:r>
            <w:r>
              <w:rPr>
                <w:b/>
                <w:sz w:val="18"/>
                <w:lang w:eastAsia="en-US"/>
              </w:rPr>
              <w:t>»</w:t>
            </w:r>
          </w:p>
          <w:p w:rsidR="0090205A" w:rsidRDefault="0090205A" w:rsidP="001C6672">
            <w:pPr>
              <w:spacing w:line="276" w:lineRule="auto"/>
              <w:jc w:val="center"/>
              <w:rPr>
                <w:b/>
                <w:sz w:val="18"/>
                <w:lang w:eastAsia="en-US"/>
              </w:rPr>
            </w:pPr>
            <w:r>
              <w:rPr>
                <w:b/>
                <w:sz w:val="18"/>
                <w:lang w:eastAsia="en-US"/>
              </w:rPr>
              <w:t>385438 къ. Фэдз,</w:t>
            </w:r>
          </w:p>
          <w:p w:rsidR="0090205A" w:rsidRDefault="0090205A" w:rsidP="001C6672">
            <w:pPr>
              <w:spacing w:line="276" w:lineRule="auto"/>
              <w:jc w:val="center"/>
            </w:pPr>
            <w:r>
              <w:rPr>
                <w:b/>
                <w:sz w:val="18"/>
                <w:lang w:eastAsia="en-US"/>
              </w:rPr>
              <w:t>Краснооктябрьска иур №104</w:t>
            </w:r>
          </w:p>
        </w:tc>
      </w:tr>
    </w:tbl>
    <w:p w:rsidR="0090205A" w:rsidRPr="0090205A" w:rsidRDefault="0090205A" w:rsidP="0090205A">
      <w:pPr>
        <w:rPr>
          <w:b/>
          <w:bCs/>
          <w:sz w:val="16"/>
          <w:szCs w:val="16"/>
        </w:rPr>
      </w:pPr>
      <w:r w:rsidRPr="0090205A">
        <w:rPr>
          <w:b/>
          <w:bCs/>
          <w:i/>
          <w:sz w:val="16"/>
          <w:szCs w:val="16"/>
        </w:rPr>
        <w:t xml:space="preserve">                                   385438, а. Ходзь, ул. Краснооктябрьская, 104, Кошехабльский район, Республика Адыгея</w:t>
      </w:r>
    </w:p>
    <w:p w:rsidR="0090205A" w:rsidRPr="0090205A" w:rsidRDefault="0090205A" w:rsidP="0090205A">
      <w:pPr>
        <w:jc w:val="center"/>
        <w:rPr>
          <w:b/>
          <w:bCs/>
          <w:i/>
          <w:sz w:val="16"/>
          <w:szCs w:val="16"/>
        </w:rPr>
      </w:pPr>
      <w:r w:rsidRPr="0090205A">
        <w:rPr>
          <w:b/>
          <w:bCs/>
          <w:sz w:val="16"/>
          <w:szCs w:val="16"/>
        </w:rPr>
        <w:t>тел.факс: 8(87770) 9-67-40</w:t>
      </w:r>
    </w:p>
    <w:p w:rsidR="0090205A" w:rsidRPr="0090205A" w:rsidRDefault="0090205A" w:rsidP="0090205A">
      <w:pPr>
        <w:rPr>
          <w:b/>
          <w:bCs/>
          <w:i/>
          <w:sz w:val="16"/>
          <w:szCs w:val="16"/>
        </w:rPr>
      </w:pPr>
      <w:r w:rsidRPr="0090205A">
        <w:rPr>
          <w:b/>
          <w:bCs/>
          <w:i/>
          <w:sz w:val="16"/>
          <w:szCs w:val="16"/>
        </w:rPr>
        <w:t xml:space="preserve">                                                                           </w:t>
      </w:r>
      <w:r w:rsidRPr="0090205A">
        <w:rPr>
          <w:b/>
          <w:bCs/>
          <w:i/>
          <w:sz w:val="16"/>
          <w:szCs w:val="16"/>
          <w:lang w:val="en-US"/>
        </w:rPr>
        <w:t>E</w:t>
      </w:r>
      <w:r w:rsidRPr="0090205A">
        <w:rPr>
          <w:b/>
          <w:bCs/>
          <w:i/>
          <w:sz w:val="16"/>
          <w:szCs w:val="16"/>
        </w:rPr>
        <w:t>-</w:t>
      </w:r>
      <w:r w:rsidRPr="0090205A">
        <w:rPr>
          <w:b/>
          <w:bCs/>
          <w:i/>
          <w:sz w:val="16"/>
          <w:szCs w:val="16"/>
          <w:lang w:val="en-US"/>
        </w:rPr>
        <w:t>mail</w:t>
      </w:r>
      <w:r w:rsidRPr="0090205A">
        <w:rPr>
          <w:b/>
          <w:bCs/>
          <w:i/>
          <w:sz w:val="16"/>
          <w:szCs w:val="16"/>
        </w:rPr>
        <w:t xml:space="preserve">: </w:t>
      </w:r>
      <w:r w:rsidRPr="0090205A">
        <w:rPr>
          <w:b/>
          <w:bCs/>
          <w:i/>
          <w:sz w:val="16"/>
          <w:szCs w:val="16"/>
          <w:lang w:val="en-US"/>
        </w:rPr>
        <w:t>Xodzinskoe</w:t>
      </w:r>
      <w:r w:rsidRPr="0090205A">
        <w:rPr>
          <w:b/>
          <w:bCs/>
          <w:i/>
          <w:sz w:val="16"/>
          <w:szCs w:val="16"/>
        </w:rPr>
        <w:t>@</w:t>
      </w:r>
      <w:r w:rsidRPr="0090205A">
        <w:rPr>
          <w:b/>
          <w:bCs/>
          <w:i/>
          <w:sz w:val="16"/>
          <w:szCs w:val="16"/>
          <w:lang w:val="en-US"/>
        </w:rPr>
        <w:t>mail</w:t>
      </w:r>
      <w:r w:rsidRPr="0090205A">
        <w:rPr>
          <w:b/>
          <w:bCs/>
          <w:i/>
          <w:sz w:val="16"/>
          <w:szCs w:val="16"/>
        </w:rPr>
        <w:t>.</w:t>
      </w:r>
      <w:r w:rsidRPr="0090205A">
        <w:rPr>
          <w:b/>
          <w:bCs/>
          <w:i/>
          <w:sz w:val="16"/>
          <w:szCs w:val="16"/>
          <w:lang w:val="en-US"/>
        </w:rPr>
        <w:t>ru</w:t>
      </w:r>
      <w:r w:rsidRPr="0090205A">
        <w:rPr>
          <w:b/>
          <w:bCs/>
          <w:i/>
          <w:sz w:val="16"/>
          <w:szCs w:val="16"/>
        </w:rPr>
        <w:t xml:space="preserve">; сайт:  </w:t>
      </w:r>
      <w:r w:rsidRPr="0090205A">
        <w:rPr>
          <w:b/>
          <w:bCs/>
          <w:i/>
          <w:sz w:val="16"/>
          <w:szCs w:val="16"/>
          <w:lang w:val="en-US"/>
        </w:rPr>
        <w:t>adm</w:t>
      </w:r>
      <w:r w:rsidRPr="0090205A">
        <w:rPr>
          <w:b/>
          <w:bCs/>
          <w:i/>
          <w:sz w:val="16"/>
          <w:szCs w:val="16"/>
        </w:rPr>
        <w:t>-</w:t>
      </w:r>
      <w:r w:rsidRPr="0090205A">
        <w:rPr>
          <w:b/>
          <w:bCs/>
          <w:i/>
          <w:sz w:val="16"/>
          <w:szCs w:val="16"/>
          <w:lang w:val="en-US"/>
        </w:rPr>
        <w:t>hodz</w:t>
      </w:r>
      <w:r w:rsidRPr="0090205A">
        <w:rPr>
          <w:b/>
          <w:bCs/>
          <w:i/>
          <w:sz w:val="16"/>
          <w:szCs w:val="16"/>
        </w:rPr>
        <w:t>.</w:t>
      </w:r>
      <w:r w:rsidRPr="0090205A">
        <w:rPr>
          <w:b/>
          <w:bCs/>
          <w:i/>
          <w:sz w:val="16"/>
          <w:szCs w:val="16"/>
          <w:lang w:val="en-US"/>
        </w:rPr>
        <w:t>ru</w:t>
      </w:r>
    </w:p>
    <w:p w:rsidR="0090205A" w:rsidRPr="0090205A" w:rsidRDefault="0090205A" w:rsidP="0090205A">
      <w:pPr>
        <w:rPr>
          <w:b/>
          <w:bCs/>
          <w:i/>
          <w:sz w:val="16"/>
          <w:szCs w:val="16"/>
        </w:rPr>
      </w:pPr>
      <w:r w:rsidRPr="0090205A">
        <w:rPr>
          <w:b/>
          <w:bCs/>
          <w:i/>
          <w:sz w:val="16"/>
          <w:szCs w:val="16"/>
        </w:rPr>
        <w:t xml:space="preserve"> </w:t>
      </w:r>
    </w:p>
    <w:p w:rsidR="0090205A" w:rsidRDefault="0090205A" w:rsidP="0090205A">
      <w:pPr>
        <w:rPr>
          <w:bCs/>
          <w:i/>
        </w:rPr>
      </w:pPr>
    </w:p>
    <w:p w:rsidR="0090205A" w:rsidRPr="0090205A" w:rsidRDefault="0090205A" w:rsidP="0090205A">
      <w:pPr>
        <w:rPr>
          <w:bCs/>
          <w:i/>
        </w:rPr>
      </w:pPr>
    </w:p>
    <w:p w:rsidR="0090205A" w:rsidRPr="0090205A" w:rsidRDefault="0090205A" w:rsidP="0090205A">
      <w:pPr>
        <w:ind w:left="426"/>
        <w:rPr>
          <w:bCs/>
        </w:rPr>
      </w:pPr>
      <w:r w:rsidRPr="0090205A">
        <w:rPr>
          <w:bCs/>
        </w:rPr>
        <w:t xml:space="preserve">                                      </w:t>
      </w:r>
      <w:r>
        <w:rPr>
          <w:bCs/>
        </w:rPr>
        <w:t xml:space="preserve">          </w:t>
      </w:r>
      <w:r w:rsidRPr="0090205A">
        <w:rPr>
          <w:bCs/>
        </w:rPr>
        <w:t xml:space="preserve">  ПОСТАНОВЛЕНИЕ </w:t>
      </w:r>
    </w:p>
    <w:p w:rsidR="0090205A" w:rsidRDefault="0090205A" w:rsidP="0090205A">
      <w:pPr>
        <w:ind w:left="426"/>
        <w:rPr>
          <w:bCs/>
        </w:rPr>
      </w:pPr>
    </w:p>
    <w:p w:rsidR="0090205A" w:rsidRPr="0090205A" w:rsidRDefault="0090205A" w:rsidP="0090205A">
      <w:pPr>
        <w:ind w:left="426"/>
        <w:rPr>
          <w:bCs/>
        </w:rPr>
      </w:pPr>
    </w:p>
    <w:p w:rsidR="0090205A" w:rsidRPr="0090205A" w:rsidRDefault="0090205A" w:rsidP="0090205A">
      <w:pPr>
        <w:ind w:left="426"/>
        <w:rPr>
          <w:bCs/>
        </w:rPr>
      </w:pPr>
      <w:r w:rsidRPr="0090205A">
        <w:rPr>
          <w:bCs/>
        </w:rPr>
        <w:t xml:space="preserve">« 22» марта 2018г.                        </w:t>
      </w:r>
      <w:r>
        <w:rPr>
          <w:bCs/>
        </w:rPr>
        <w:t xml:space="preserve">          </w:t>
      </w:r>
      <w:r w:rsidRPr="0090205A">
        <w:rPr>
          <w:bCs/>
        </w:rPr>
        <w:t xml:space="preserve">№ 15                                </w:t>
      </w:r>
      <w:r>
        <w:rPr>
          <w:bCs/>
        </w:rPr>
        <w:t xml:space="preserve">                </w:t>
      </w:r>
      <w:r w:rsidRPr="0090205A">
        <w:rPr>
          <w:bCs/>
        </w:rPr>
        <w:t xml:space="preserve">   а.</w:t>
      </w:r>
      <w:r>
        <w:rPr>
          <w:bCs/>
        </w:rPr>
        <w:t xml:space="preserve"> </w:t>
      </w:r>
      <w:r w:rsidRPr="0090205A">
        <w:rPr>
          <w:bCs/>
        </w:rPr>
        <w:t>Ходзь</w:t>
      </w:r>
    </w:p>
    <w:p w:rsidR="0090205A" w:rsidRDefault="0090205A" w:rsidP="0090205A">
      <w:pPr>
        <w:ind w:left="426"/>
        <w:rPr>
          <w:bCs/>
        </w:rPr>
      </w:pPr>
    </w:p>
    <w:p w:rsidR="0090205A" w:rsidRPr="0090205A" w:rsidRDefault="0090205A" w:rsidP="0090205A">
      <w:pPr>
        <w:ind w:left="426"/>
        <w:rPr>
          <w:bCs/>
        </w:rPr>
      </w:pPr>
    </w:p>
    <w:p w:rsidR="0090205A" w:rsidRPr="0090205A" w:rsidRDefault="0090205A" w:rsidP="0090205A">
      <w:pPr>
        <w:ind w:left="426"/>
        <w:rPr>
          <w:bCs/>
        </w:rPr>
      </w:pPr>
      <w:r w:rsidRPr="0090205A">
        <w:rPr>
          <w:bCs/>
        </w:rPr>
        <w:t>Об утверждении муниципальной программы</w:t>
      </w:r>
    </w:p>
    <w:p w:rsidR="0090205A" w:rsidRDefault="0090205A" w:rsidP="0090205A">
      <w:pPr>
        <w:pStyle w:val="a4"/>
        <w:spacing w:before="0" w:beforeAutospacing="0" w:after="0" w:afterAutospacing="0"/>
        <w:jc w:val="both"/>
      </w:pPr>
      <w:r>
        <w:t xml:space="preserve">       муниципального образования </w:t>
      </w:r>
    </w:p>
    <w:p w:rsidR="0090205A" w:rsidRDefault="0090205A" w:rsidP="0090205A">
      <w:pPr>
        <w:pStyle w:val="a4"/>
        <w:spacing w:before="0" w:beforeAutospacing="0" w:after="0" w:afterAutospacing="0"/>
        <w:jc w:val="both"/>
      </w:pPr>
      <w:r>
        <w:t xml:space="preserve">      «Ходзинское сельское поселение»</w:t>
      </w:r>
    </w:p>
    <w:p w:rsidR="0090205A" w:rsidRDefault="0090205A" w:rsidP="0090205A">
      <w:pPr>
        <w:pStyle w:val="a4"/>
        <w:spacing w:before="0" w:beforeAutospacing="0" w:after="0" w:afterAutospacing="0"/>
        <w:jc w:val="both"/>
      </w:pPr>
      <w:r>
        <w:t>«Устойчивое развитие сельских территорий на 2018-2020годы»</w:t>
      </w:r>
    </w:p>
    <w:p w:rsidR="0090205A" w:rsidRDefault="0090205A" w:rsidP="0090205A">
      <w:pPr>
        <w:ind w:left="426"/>
        <w:rPr>
          <w:bCs/>
        </w:rPr>
      </w:pPr>
    </w:p>
    <w:p w:rsidR="0090205A" w:rsidRPr="0090205A" w:rsidRDefault="0090205A" w:rsidP="0090205A">
      <w:pPr>
        <w:ind w:left="426"/>
        <w:rPr>
          <w:bCs/>
        </w:rPr>
      </w:pPr>
    </w:p>
    <w:p w:rsidR="0090205A" w:rsidRDefault="0090205A" w:rsidP="0090205A">
      <w:pPr>
        <w:ind w:left="426" w:firstLine="282"/>
        <w:jc w:val="both"/>
        <w:rPr>
          <w:bCs/>
        </w:rPr>
      </w:pPr>
      <w:r w:rsidRPr="0090205A">
        <w:rPr>
          <w:bCs/>
        </w:rPr>
        <w:t>В соответствии со статьей 179 Бюджетного кодекса Российской Федер</w:t>
      </w:r>
      <w:r>
        <w:rPr>
          <w:bCs/>
        </w:rPr>
        <w:t xml:space="preserve">ации, </w:t>
      </w:r>
      <w:r w:rsidRPr="0090205A">
        <w:rPr>
          <w:color w:val="000000"/>
          <w:sz w:val="26"/>
          <w:szCs w:val="26"/>
        </w:rPr>
        <w:t xml:space="preserve"> </w:t>
      </w:r>
      <w:r w:rsidRPr="00432DB2">
        <w:rPr>
          <w:color w:val="000000"/>
          <w:sz w:val="26"/>
          <w:szCs w:val="26"/>
        </w:rPr>
        <w:t xml:space="preserve">руководствуясь пунктом 5 части 1 статьи 14 Федерального </w:t>
      </w:r>
      <w:r>
        <w:rPr>
          <w:color w:val="000000"/>
          <w:sz w:val="26"/>
          <w:szCs w:val="26"/>
        </w:rPr>
        <w:t>закона от 06.10.2003 № 131-ФЗ «</w:t>
      </w:r>
      <w:r w:rsidRPr="00432DB2">
        <w:rPr>
          <w:color w:val="000000"/>
          <w:sz w:val="26"/>
          <w:szCs w:val="26"/>
        </w:rPr>
        <w:t>Об общих принципах организации местного самоуп</w:t>
      </w:r>
      <w:r>
        <w:rPr>
          <w:color w:val="000000"/>
          <w:sz w:val="26"/>
          <w:szCs w:val="26"/>
        </w:rPr>
        <w:t>равления в Российской Федерации»</w:t>
      </w:r>
      <w:r w:rsidRPr="00432DB2">
        <w:rPr>
          <w:color w:val="000000"/>
          <w:sz w:val="26"/>
          <w:szCs w:val="26"/>
        </w:rPr>
        <w:t xml:space="preserve"> и Уставом муниципального образования «</w:t>
      </w:r>
      <w:r>
        <w:rPr>
          <w:color w:val="000000"/>
          <w:sz w:val="26"/>
          <w:szCs w:val="26"/>
        </w:rPr>
        <w:t>Ходзинское</w:t>
      </w:r>
      <w:r w:rsidRPr="00432DB2">
        <w:rPr>
          <w:color w:val="000000"/>
          <w:sz w:val="26"/>
          <w:szCs w:val="26"/>
        </w:rPr>
        <w:t xml:space="preserve"> сельское поселение»</w:t>
      </w:r>
      <w:r>
        <w:rPr>
          <w:color w:val="000000"/>
          <w:sz w:val="26"/>
          <w:szCs w:val="26"/>
        </w:rPr>
        <w:t xml:space="preserve"> Администрация Ходзинского сельского поселения</w:t>
      </w:r>
    </w:p>
    <w:p w:rsidR="0090205A" w:rsidRDefault="0090205A" w:rsidP="0090205A">
      <w:pPr>
        <w:ind w:left="426" w:firstLine="282"/>
        <w:jc w:val="both"/>
        <w:rPr>
          <w:bCs/>
        </w:rPr>
      </w:pPr>
      <w:r>
        <w:rPr>
          <w:bCs/>
        </w:rPr>
        <w:t xml:space="preserve"> </w:t>
      </w:r>
    </w:p>
    <w:p w:rsidR="0090205A" w:rsidRPr="0090205A" w:rsidRDefault="0090205A" w:rsidP="0090205A">
      <w:pPr>
        <w:ind w:left="426" w:firstLine="282"/>
        <w:jc w:val="both"/>
        <w:rPr>
          <w:bCs/>
        </w:rPr>
      </w:pPr>
    </w:p>
    <w:p w:rsidR="0090205A" w:rsidRDefault="0090205A" w:rsidP="0090205A">
      <w:pPr>
        <w:ind w:left="426" w:firstLine="282"/>
        <w:rPr>
          <w:bCs/>
        </w:rPr>
      </w:pPr>
      <w:r>
        <w:rPr>
          <w:bCs/>
        </w:rPr>
        <w:t xml:space="preserve">                                                </w:t>
      </w:r>
      <w:r w:rsidRPr="0090205A">
        <w:rPr>
          <w:bCs/>
        </w:rPr>
        <w:t>ПОСТАНОВЛЯЕТ:</w:t>
      </w:r>
      <w:r>
        <w:rPr>
          <w:bCs/>
        </w:rPr>
        <w:t xml:space="preserve"> </w:t>
      </w:r>
    </w:p>
    <w:p w:rsidR="0090205A" w:rsidRPr="0090205A" w:rsidRDefault="0090205A" w:rsidP="0090205A">
      <w:pPr>
        <w:ind w:left="426" w:firstLine="282"/>
        <w:rPr>
          <w:bCs/>
        </w:rPr>
      </w:pPr>
    </w:p>
    <w:p w:rsidR="0090205A" w:rsidRDefault="0090205A" w:rsidP="0090205A">
      <w:pPr>
        <w:pStyle w:val="a4"/>
        <w:spacing w:before="0" w:beforeAutospacing="0" w:after="0" w:afterAutospacing="0"/>
        <w:jc w:val="both"/>
      </w:pPr>
      <w:r w:rsidRPr="0090205A">
        <w:rPr>
          <w:bCs/>
        </w:rPr>
        <w:t xml:space="preserve">1.Утвердить прилагаемую муниципальную программу </w:t>
      </w:r>
      <w:r>
        <w:t xml:space="preserve">муниципального образования </w:t>
      </w:r>
    </w:p>
    <w:p w:rsidR="0090205A" w:rsidRDefault="0090205A" w:rsidP="0090205A">
      <w:pPr>
        <w:pStyle w:val="a4"/>
        <w:spacing w:before="0" w:beforeAutospacing="0" w:after="0" w:afterAutospacing="0"/>
        <w:jc w:val="both"/>
      </w:pPr>
      <w:r>
        <w:t xml:space="preserve">      «Ходзинское сельское поселение»</w:t>
      </w:r>
    </w:p>
    <w:p w:rsidR="0090205A" w:rsidRDefault="0090205A" w:rsidP="0090205A">
      <w:pPr>
        <w:pStyle w:val="a4"/>
        <w:spacing w:before="0" w:beforeAutospacing="0" w:after="0" w:afterAutospacing="0"/>
        <w:jc w:val="both"/>
      </w:pPr>
      <w:r>
        <w:t xml:space="preserve">«Устойчивое развитие сельских территорий на 2018-2020годы» </w:t>
      </w:r>
    </w:p>
    <w:p w:rsidR="0090205A" w:rsidRPr="0090205A" w:rsidRDefault="0090205A" w:rsidP="0090205A">
      <w:pPr>
        <w:pStyle w:val="a4"/>
        <w:spacing w:before="0" w:beforeAutospacing="0" w:after="0" w:afterAutospacing="0"/>
        <w:jc w:val="both"/>
      </w:pPr>
    </w:p>
    <w:p w:rsidR="0090205A" w:rsidRDefault="0090205A" w:rsidP="0090205A">
      <w:pPr>
        <w:rPr>
          <w:bCs/>
        </w:rPr>
      </w:pPr>
      <w:r w:rsidRPr="0090205A">
        <w:rPr>
          <w:bCs/>
        </w:rPr>
        <w:t xml:space="preserve">2.Контроль за исполнением настоящего постановления возложить на заместителя </w:t>
      </w:r>
      <w:r>
        <w:rPr>
          <w:bCs/>
        </w:rPr>
        <w:t xml:space="preserve">главы администрации МО «Ходзинское сельское поселение» </w:t>
      </w:r>
      <w:r w:rsidR="00637AED">
        <w:rPr>
          <w:bCs/>
        </w:rPr>
        <w:t>Теунова Х.А</w:t>
      </w:r>
      <w:r>
        <w:rPr>
          <w:bCs/>
        </w:rPr>
        <w:t>.</w:t>
      </w:r>
    </w:p>
    <w:p w:rsidR="0090205A" w:rsidRDefault="0090205A" w:rsidP="0090205A">
      <w:pPr>
        <w:rPr>
          <w:bCs/>
        </w:rPr>
      </w:pPr>
    </w:p>
    <w:p w:rsidR="0090205A" w:rsidRDefault="0090205A" w:rsidP="0090205A">
      <w:pPr>
        <w:rPr>
          <w:bCs/>
        </w:rPr>
      </w:pPr>
    </w:p>
    <w:p w:rsidR="0090205A" w:rsidRDefault="0090205A" w:rsidP="0090205A">
      <w:pPr>
        <w:rPr>
          <w:bCs/>
        </w:rPr>
      </w:pPr>
    </w:p>
    <w:p w:rsidR="0090205A" w:rsidRDefault="0090205A" w:rsidP="0090205A">
      <w:pPr>
        <w:rPr>
          <w:bCs/>
        </w:rPr>
      </w:pPr>
    </w:p>
    <w:p w:rsidR="0090205A" w:rsidRDefault="0090205A" w:rsidP="0090205A">
      <w:pPr>
        <w:rPr>
          <w:bCs/>
        </w:rPr>
      </w:pPr>
    </w:p>
    <w:p w:rsidR="0090205A" w:rsidRDefault="0090205A" w:rsidP="0090205A">
      <w:pPr>
        <w:rPr>
          <w:bCs/>
        </w:rPr>
      </w:pPr>
      <w:r>
        <w:rPr>
          <w:bCs/>
        </w:rPr>
        <w:t>Глава МО</w:t>
      </w:r>
    </w:p>
    <w:p w:rsidR="0090205A" w:rsidRPr="0090205A" w:rsidRDefault="0090205A" w:rsidP="0090205A">
      <w:pPr>
        <w:rPr>
          <w:bCs/>
        </w:rPr>
      </w:pPr>
      <w:r>
        <w:rPr>
          <w:bCs/>
        </w:rPr>
        <w:t>«Ходзинское сельское поселение»                                Р.М.Тлостнаков</w:t>
      </w:r>
    </w:p>
    <w:p w:rsidR="0090205A" w:rsidRPr="0090205A" w:rsidRDefault="0090205A" w:rsidP="0090205A">
      <w:pPr>
        <w:pStyle w:val="a5"/>
        <w:ind w:left="1068" w:firstLine="0"/>
        <w:rPr>
          <w:bCs/>
          <w:sz w:val="24"/>
          <w:szCs w:val="24"/>
        </w:rPr>
      </w:pPr>
    </w:p>
    <w:p w:rsidR="0090205A" w:rsidRDefault="0090205A" w:rsidP="0090205A">
      <w:pPr>
        <w:ind w:left="426"/>
        <w:jc w:val="center"/>
        <w:rPr>
          <w:bCs/>
        </w:rPr>
      </w:pPr>
    </w:p>
    <w:p w:rsidR="00AB178C" w:rsidRDefault="00AB178C" w:rsidP="0090205A">
      <w:pPr>
        <w:ind w:left="426"/>
        <w:jc w:val="center"/>
        <w:rPr>
          <w:bCs/>
        </w:rPr>
      </w:pPr>
    </w:p>
    <w:p w:rsidR="00AB178C" w:rsidRDefault="00AB178C" w:rsidP="0090205A">
      <w:pPr>
        <w:ind w:left="426"/>
        <w:jc w:val="center"/>
        <w:rPr>
          <w:bCs/>
        </w:rPr>
      </w:pPr>
    </w:p>
    <w:p w:rsidR="00AB178C" w:rsidRDefault="00AB178C" w:rsidP="0090205A">
      <w:pPr>
        <w:ind w:left="426"/>
        <w:jc w:val="center"/>
        <w:rPr>
          <w:bCs/>
        </w:rPr>
      </w:pPr>
    </w:p>
    <w:p w:rsidR="00AB178C" w:rsidRDefault="00AB178C" w:rsidP="0090205A">
      <w:pPr>
        <w:ind w:left="426"/>
        <w:jc w:val="center"/>
        <w:rPr>
          <w:bCs/>
        </w:rPr>
      </w:pPr>
    </w:p>
    <w:p w:rsidR="00AB178C" w:rsidRDefault="00AB178C" w:rsidP="0090205A">
      <w:pPr>
        <w:ind w:left="426"/>
        <w:jc w:val="center"/>
        <w:rPr>
          <w:bCs/>
        </w:rPr>
      </w:pPr>
    </w:p>
    <w:p w:rsidR="00AB178C" w:rsidRPr="00F26841" w:rsidRDefault="00AB178C" w:rsidP="00AB178C">
      <w:pPr>
        <w:tabs>
          <w:tab w:val="left" w:pos="2010"/>
        </w:tabs>
        <w:jc w:val="center"/>
        <w:rPr>
          <w:b/>
          <w:sz w:val="28"/>
          <w:szCs w:val="28"/>
        </w:rPr>
      </w:pPr>
      <w:r>
        <w:rPr>
          <w:b/>
          <w:sz w:val="28"/>
          <w:szCs w:val="28"/>
        </w:rPr>
        <w:lastRenderedPageBreak/>
        <w:t>МУНИЦИПАЛЬНАЯ ПРОГРАММА МУНИЦИПАЛЬНОГО ОБРАЗОВАНИЯ «ХОДЗИНСКОЕ СЕЛЬСКОЕ ПОСЕЛЕНИЕ»</w:t>
      </w:r>
      <w:r>
        <w:rPr>
          <w:b/>
          <w:sz w:val="28"/>
          <w:szCs w:val="28"/>
        </w:rPr>
        <w:br/>
      </w:r>
      <w:r w:rsidRPr="00F26841">
        <w:rPr>
          <w:b/>
          <w:sz w:val="28"/>
          <w:szCs w:val="28"/>
        </w:rPr>
        <w:t>«УСТОЙЧИВОЕ</w:t>
      </w:r>
      <w:r>
        <w:rPr>
          <w:b/>
          <w:sz w:val="28"/>
          <w:szCs w:val="28"/>
        </w:rPr>
        <w:t xml:space="preserve"> </w:t>
      </w:r>
      <w:r w:rsidRPr="00F26841">
        <w:rPr>
          <w:b/>
          <w:sz w:val="28"/>
          <w:szCs w:val="28"/>
        </w:rPr>
        <w:t xml:space="preserve">РАЗВИТИЕ СЕЛЬСКИХ ТЕРРИТОРИЙ </w:t>
      </w:r>
      <w:r>
        <w:rPr>
          <w:b/>
          <w:sz w:val="28"/>
          <w:szCs w:val="28"/>
        </w:rPr>
        <w:br/>
      </w:r>
      <w:r w:rsidRPr="00F26841">
        <w:rPr>
          <w:b/>
          <w:sz w:val="28"/>
          <w:szCs w:val="28"/>
        </w:rPr>
        <w:t xml:space="preserve">НА </w:t>
      </w:r>
      <w:r>
        <w:rPr>
          <w:b/>
          <w:sz w:val="28"/>
          <w:szCs w:val="28"/>
        </w:rPr>
        <w:t>2018-</w:t>
      </w:r>
      <w:r w:rsidRPr="00F26841">
        <w:rPr>
          <w:b/>
          <w:sz w:val="28"/>
          <w:szCs w:val="28"/>
        </w:rPr>
        <w:t>2020 ГОД</w:t>
      </w:r>
      <w:r>
        <w:rPr>
          <w:b/>
          <w:sz w:val="28"/>
          <w:szCs w:val="28"/>
        </w:rPr>
        <w:t>Ы</w:t>
      </w:r>
      <w:r w:rsidRPr="00F26841">
        <w:rPr>
          <w:b/>
          <w:sz w:val="28"/>
          <w:szCs w:val="28"/>
        </w:rPr>
        <w:t>»</w:t>
      </w:r>
    </w:p>
    <w:p w:rsidR="00AB178C" w:rsidRPr="0007752B" w:rsidRDefault="00AB178C" w:rsidP="00AB178C">
      <w:pPr>
        <w:jc w:val="center"/>
        <w:rPr>
          <w:b/>
        </w:rPr>
      </w:pPr>
    </w:p>
    <w:p w:rsidR="00AB178C" w:rsidRDefault="00AB178C" w:rsidP="00AB178C">
      <w:pPr>
        <w:jc w:val="center"/>
        <w:rPr>
          <w:sz w:val="28"/>
          <w:szCs w:val="28"/>
        </w:rPr>
      </w:pPr>
      <w:r w:rsidRPr="00F26841">
        <w:rPr>
          <w:sz w:val="28"/>
          <w:szCs w:val="28"/>
        </w:rPr>
        <w:t>ПАСПОРТ</w:t>
      </w:r>
    </w:p>
    <w:p w:rsidR="00AB178C" w:rsidRPr="00F26841" w:rsidRDefault="00AB178C" w:rsidP="00AB178C">
      <w:pPr>
        <w:jc w:val="center"/>
        <w:rPr>
          <w:sz w:val="28"/>
          <w:szCs w:val="28"/>
        </w:rPr>
      </w:pPr>
      <w:r>
        <w:rPr>
          <w:sz w:val="28"/>
          <w:szCs w:val="28"/>
        </w:rPr>
        <w:t xml:space="preserve"> муниципальной</w:t>
      </w:r>
      <w:r w:rsidRPr="00F26841">
        <w:rPr>
          <w:b/>
          <w:sz w:val="28"/>
          <w:szCs w:val="28"/>
        </w:rPr>
        <w:t xml:space="preserve"> </w:t>
      </w:r>
      <w:r w:rsidRPr="00F26841">
        <w:rPr>
          <w:sz w:val="28"/>
          <w:szCs w:val="28"/>
        </w:rPr>
        <w:t>программ</w:t>
      </w:r>
      <w:r>
        <w:rPr>
          <w:sz w:val="28"/>
          <w:szCs w:val="28"/>
        </w:rPr>
        <w:t>ы муниципального образования «Ходзинское сельское поселение»</w:t>
      </w:r>
      <w:r w:rsidRPr="00F26841">
        <w:rPr>
          <w:sz w:val="28"/>
          <w:szCs w:val="28"/>
        </w:rPr>
        <w:t xml:space="preserve"> </w:t>
      </w:r>
      <w:r w:rsidRPr="00F26841">
        <w:rPr>
          <w:sz w:val="28"/>
          <w:szCs w:val="28"/>
        </w:rPr>
        <w:br/>
        <w:t>«</w:t>
      </w:r>
      <w:r>
        <w:rPr>
          <w:sz w:val="28"/>
          <w:szCs w:val="28"/>
        </w:rPr>
        <w:t>У</w:t>
      </w:r>
      <w:r w:rsidRPr="00F26841">
        <w:rPr>
          <w:sz w:val="28"/>
          <w:szCs w:val="28"/>
        </w:rPr>
        <w:t xml:space="preserve">стойчивое развитие сельских территорий </w:t>
      </w:r>
      <w:r w:rsidRPr="00F26841">
        <w:rPr>
          <w:sz w:val="28"/>
          <w:szCs w:val="28"/>
        </w:rPr>
        <w:br/>
        <w:t>на 201</w:t>
      </w:r>
      <w:r>
        <w:rPr>
          <w:sz w:val="28"/>
          <w:szCs w:val="28"/>
        </w:rPr>
        <w:t>8-2020 годы</w:t>
      </w:r>
      <w:r w:rsidRPr="00F26841">
        <w:rPr>
          <w:sz w:val="28"/>
          <w:szCs w:val="28"/>
        </w:rPr>
        <w:t>»</w:t>
      </w:r>
    </w:p>
    <w:p w:rsidR="00AB178C" w:rsidRDefault="00AB178C" w:rsidP="00AB178C"/>
    <w:tbl>
      <w:tblPr>
        <w:tblW w:w="0" w:type="auto"/>
        <w:tblLook w:val="01E0" w:firstRow="1" w:lastRow="1" w:firstColumn="1" w:lastColumn="1" w:noHBand="0" w:noVBand="0"/>
      </w:tblPr>
      <w:tblGrid>
        <w:gridCol w:w="3653"/>
        <w:gridCol w:w="415"/>
        <w:gridCol w:w="5503"/>
      </w:tblGrid>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Ответственный исполнитель муниципальной программы</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pPr>
              <w:pStyle w:val="ConsPlusCell"/>
              <w:rPr>
                <w:rFonts w:ascii="Times New Roman" w:hAnsi="Times New Roman" w:cs="Times New Roman"/>
                <w:sz w:val="24"/>
                <w:szCs w:val="24"/>
              </w:rPr>
            </w:pPr>
            <w:r w:rsidRPr="00587CF5">
              <w:rPr>
                <w:rFonts w:ascii="Times New Roman" w:hAnsi="Times New Roman" w:cs="Times New Roman"/>
                <w:sz w:val="24"/>
                <w:szCs w:val="24"/>
              </w:rPr>
              <w:t>муниципального образования «Ходзинское сельское поселение»</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Соисполнители муниципальной программы</w:t>
            </w:r>
          </w:p>
          <w:p w:rsidR="00AB178C" w:rsidRPr="00587CF5" w:rsidRDefault="00AB178C" w:rsidP="001C63A7"/>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7C06D8">
              <w:t>Управление архитектуры и градостроительства администрации МО «Кошехабльский район», Управление культуры администрации МО «Кошехабльский район», юридический отдел администрации МО «Кошехабльский район».</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Наименование подпрограмм</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1.Комплексное обустройство населенных пунктов, расположенных в сельской местности, объектами социальной и инженерной инфраструктуры.</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 xml:space="preserve">Участники программы </w:t>
            </w:r>
          </w:p>
          <w:p w:rsidR="00AB178C" w:rsidRPr="00587CF5" w:rsidRDefault="00AB178C" w:rsidP="001C63A7"/>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Администрация МО «</w:t>
            </w:r>
            <w:r>
              <w:t xml:space="preserve">Ходзинское </w:t>
            </w:r>
            <w:r w:rsidRPr="00587CF5">
              <w:t>сельск</w:t>
            </w:r>
            <w:r>
              <w:t>ое</w:t>
            </w:r>
            <w:r w:rsidRPr="00587CF5">
              <w:t xml:space="preserve"> поселени</w:t>
            </w:r>
            <w:r>
              <w:t>е»</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p w:rsidR="00AB178C" w:rsidRPr="00587CF5" w:rsidRDefault="00AB178C" w:rsidP="001C63A7">
            <w:r w:rsidRPr="00587CF5">
              <w:t>Цели муниципальной программы</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Основные цели Программы:</w:t>
            </w:r>
          </w:p>
          <w:p w:rsidR="00AB178C" w:rsidRPr="00587CF5" w:rsidRDefault="00AB178C" w:rsidP="001C63A7">
            <w:r w:rsidRPr="00587CF5">
              <w:t>создание комфортных условий жизнедеятельности в сельской местности;</w:t>
            </w:r>
          </w:p>
          <w:p w:rsidR="00AB178C" w:rsidRPr="00587CF5" w:rsidRDefault="00AB178C" w:rsidP="001C63A7">
            <w:r w:rsidRPr="00587CF5">
              <w:t>формирование позитивного отношения к сельской местности и сельскому образу жизни.</w:t>
            </w:r>
          </w:p>
          <w:p w:rsidR="00AB178C" w:rsidRPr="00587CF5" w:rsidRDefault="00AB178C" w:rsidP="001C63A7"/>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Задачи муниципальной программы</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 xml:space="preserve">Основными задачами Программы являются: </w:t>
            </w:r>
          </w:p>
          <w:p w:rsidR="00AB178C" w:rsidRPr="00587CF5" w:rsidRDefault="00AB178C" w:rsidP="001C63A7">
            <w:r w:rsidRPr="00587CF5">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Целевые показатели (индикаторы ) муниципальной программы</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tc>
        <w:tc>
          <w:tcPr>
            <w:tcW w:w="5503" w:type="dxa"/>
            <w:tcBorders>
              <w:top w:val="single" w:sz="4" w:space="0" w:color="auto"/>
              <w:left w:val="single" w:sz="4" w:space="0" w:color="auto"/>
              <w:bottom w:val="single" w:sz="4" w:space="0" w:color="auto"/>
              <w:right w:val="single" w:sz="4" w:space="0" w:color="auto"/>
            </w:tcBorders>
          </w:tcPr>
          <w:p w:rsidR="00AB178C" w:rsidRPr="003768C3" w:rsidRDefault="00AB178C" w:rsidP="001C63A7">
            <w:pPr>
              <w:autoSpaceDE w:val="0"/>
              <w:autoSpaceDN w:val="0"/>
              <w:adjustRightInd w:val="0"/>
              <w:rPr>
                <w:sz w:val="21"/>
                <w:szCs w:val="21"/>
              </w:rPr>
            </w:pPr>
            <w:r>
              <w:t xml:space="preserve">Строительство Дома культуры в ауле Ходзь </w:t>
            </w:r>
            <w:r w:rsidRPr="003768C3">
              <w:rPr>
                <w:sz w:val="21"/>
                <w:szCs w:val="21"/>
              </w:rPr>
              <w:t>Ходзь МО</w:t>
            </w:r>
            <w:r>
              <w:rPr>
                <w:sz w:val="21"/>
                <w:szCs w:val="21"/>
              </w:rPr>
              <w:t xml:space="preserve"> </w:t>
            </w:r>
            <w:r w:rsidRPr="003768C3">
              <w:rPr>
                <w:sz w:val="21"/>
                <w:szCs w:val="21"/>
              </w:rPr>
              <w:t>"Кошехабльский район"</w:t>
            </w:r>
            <w:r>
              <w:rPr>
                <w:sz w:val="21"/>
                <w:szCs w:val="21"/>
              </w:rPr>
              <w:t xml:space="preserve"> </w:t>
            </w:r>
            <w:r w:rsidRPr="003768C3">
              <w:rPr>
                <w:sz w:val="21"/>
                <w:szCs w:val="21"/>
              </w:rPr>
              <w:t>Республики Адыгея</w:t>
            </w:r>
          </w:p>
          <w:p w:rsidR="00AB178C" w:rsidRPr="00587CF5" w:rsidRDefault="00AB178C" w:rsidP="001C63A7"/>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Этапы и</w:t>
            </w:r>
            <w:r>
              <w:t xml:space="preserve"> </w:t>
            </w:r>
            <w:r w:rsidRPr="00587CF5">
              <w:t>сроки реализации муниципальной программы</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201</w:t>
            </w:r>
            <w:r>
              <w:t>8</w:t>
            </w:r>
            <w:r w:rsidRPr="00587CF5">
              <w:t>-2020 годы</w:t>
            </w:r>
          </w:p>
          <w:p w:rsidR="00AB178C" w:rsidRPr="00587CF5" w:rsidRDefault="00AB178C" w:rsidP="001C63A7">
            <w:r w:rsidRPr="00587CF5">
              <w:rPr>
                <w:lang w:val="en-US"/>
              </w:rPr>
              <w:t>I</w:t>
            </w:r>
            <w:r w:rsidRPr="00587CF5">
              <w:t xml:space="preserve"> этап</w:t>
            </w:r>
            <w:r>
              <w:t xml:space="preserve">  </w:t>
            </w:r>
            <w:r w:rsidRPr="00587CF5">
              <w:t xml:space="preserve"> – 201</w:t>
            </w:r>
            <w:r>
              <w:t>8</w:t>
            </w:r>
            <w:r w:rsidRPr="00587CF5">
              <w:t xml:space="preserve"> год</w:t>
            </w:r>
          </w:p>
          <w:p w:rsidR="00AB178C" w:rsidRDefault="00AB178C" w:rsidP="001C63A7">
            <w:r w:rsidRPr="00587CF5">
              <w:rPr>
                <w:lang w:val="en-US"/>
              </w:rPr>
              <w:t>II</w:t>
            </w:r>
            <w:r w:rsidRPr="00587CF5">
              <w:t xml:space="preserve"> этап</w:t>
            </w:r>
            <w:r>
              <w:t xml:space="preserve"> </w:t>
            </w:r>
            <w:r w:rsidRPr="00587CF5">
              <w:t xml:space="preserve"> – 201</w:t>
            </w:r>
            <w:r>
              <w:t>9</w:t>
            </w:r>
            <w:r w:rsidRPr="00587CF5">
              <w:t xml:space="preserve"> год</w:t>
            </w:r>
          </w:p>
          <w:p w:rsidR="00AB178C" w:rsidRPr="00587CF5" w:rsidRDefault="00AB178C" w:rsidP="001C63A7">
            <w:r w:rsidRPr="00587CF5">
              <w:rPr>
                <w:lang w:val="en-US"/>
              </w:rPr>
              <w:t>III</w:t>
            </w:r>
            <w:r w:rsidRPr="00587CF5">
              <w:t xml:space="preserve"> этап – 20</w:t>
            </w:r>
            <w:r>
              <w:t>20</w:t>
            </w:r>
            <w:r w:rsidRPr="00587CF5">
              <w:t xml:space="preserve"> год</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 xml:space="preserve">Ресурсное обеспечение муниципальной программы </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pPr>
              <w:pStyle w:val="ConsPlusCell"/>
              <w:rPr>
                <w:rFonts w:ascii="Times New Roman" w:hAnsi="Times New Roman" w:cs="Times New Roman"/>
                <w:sz w:val="24"/>
                <w:szCs w:val="24"/>
              </w:rPr>
            </w:pPr>
            <w:r w:rsidRPr="00587CF5">
              <w:rPr>
                <w:rFonts w:ascii="Times New Roman" w:hAnsi="Times New Roman" w:cs="Times New Roman"/>
                <w:sz w:val="24"/>
                <w:szCs w:val="24"/>
              </w:rPr>
              <w:t>общий объем финансирования Программы</w:t>
            </w:r>
          </w:p>
          <w:p w:rsidR="00AB178C" w:rsidRPr="00587CF5" w:rsidRDefault="00AB178C" w:rsidP="001C63A7">
            <w:pPr>
              <w:pStyle w:val="ConsPlusCell"/>
              <w:rPr>
                <w:rFonts w:ascii="Times New Roman" w:hAnsi="Times New Roman" w:cs="Times New Roman"/>
                <w:sz w:val="24"/>
                <w:szCs w:val="24"/>
              </w:rPr>
            </w:pPr>
            <w:r w:rsidRPr="00587CF5">
              <w:rPr>
                <w:rFonts w:ascii="Times New Roman" w:hAnsi="Times New Roman" w:cs="Times New Roman"/>
                <w:sz w:val="24"/>
                <w:szCs w:val="24"/>
              </w:rPr>
              <w:t xml:space="preserve">составляет </w:t>
            </w:r>
            <w:r w:rsidRPr="003768C3">
              <w:rPr>
                <w:rFonts w:ascii="Times New Roman" w:hAnsi="Times New Roman"/>
                <w:sz w:val="21"/>
                <w:szCs w:val="21"/>
              </w:rPr>
              <w:t>51</w:t>
            </w:r>
            <w:r>
              <w:rPr>
                <w:rFonts w:ascii="Times New Roman" w:hAnsi="Times New Roman"/>
                <w:sz w:val="21"/>
                <w:szCs w:val="21"/>
              </w:rPr>
              <w:t> </w:t>
            </w:r>
            <w:r w:rsidRPr="003768C3">
              <w:rPr>
                <w:rFonts w:ascii="Times New Roman" w:hAnsi="Times New Roman"/>
                <w:sz w:val="21"/>
                <w:szCs w:val="21"/>
              </w:rPr>
              <w:t>740</w:t>
            </w:r>
            <w:r>
              <w:rPr>
                <w:rFonts w:ascii="Times New Roman" w:hAnsi="Times New Roman"/>
                <w:sz w:val="21"/>
                <w:szCs w:val="21"/>
              </w:rPr>
              <w:t xml:space="preserve"> </w:t>
            </w:r>
            <w:r w:rsidRPr="003768C3">
              <w:rPr>
                <w:rFonts w:ascii="Times New Roman" w:hAnsi="Times New Roman"/>
                <w:sz w:val="21"/>
                <w:szCs w:val="21"/>
              </w:rPr>
              <w:t>120,00</w:t>
            </w:r>
            <w:r w:rsidRPr="00587CF5">
              <w:rPr>
                <w:rFonts w:ascii="Times New Roman" w:hAnsi="Times New Roman" w:cs="Times New Roman"/>
                <w:sz w:val="24"/>
                <w:szCs w:val="24"/>
              </w:rPr>
              <w:t xml:space="preserve"> </w:t>
            </w:r>
            <w:r>
              <w:rPr>
                <w:rFonts w:ascii="Times New Roman" w:hAnsi="Times New Roman" w:cs="Times New Roman"/>
                <w:sz w:val="24"/>
                <w:szCs w:val="24"/>
              </w:rPr>
              <w:t>рублей</w:t>
            </w:r>
          </w:p>
        </w:tc>
      </w:tr>
      <w:tr w:rsidR="00AB178C" w:rsidRPr="00587CF5" w:rsidTr="001C63A7">
        <w:tc>
          <w:tcPr>
            <w:tcW w:w="365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Ожидаемые</w:t>
            </w:r>
            <w:r>
              <w:t xml:space="preserve"> конечные </w:t>
            </w:r>
            <w:r w:rsidRPr="00587CF5">
              <w:t xml:space="preserve">результаты реализации муниципальной программы </w:t>
            </w:r>
          </w:p>
        </w:tc>
        <w:tc>
          <w:tcPr>
            <w:tcW w:w="415"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w:t>
            </w:r>
          </w:p>
        </w:tc>
        <w:tc>
          <w:tcPr>
            <w:tcW w:w="5503" w:type="dxa"/>
            <w:tcBorders>
              <w:top w:val="single" w:sz="4" w:space="0" w:color="auto"/>
              <w:left w:val="single" w:sz="4" w:space="0" w:color="auto"/>
              <w:bottom w:val="single" w:sz="4" w:space="0" w:color="auto"/>
              <w:right w:val="single" w:sz="4" w:space="0" w:color="auto"/>
            </w:tcBorders>
          </w:tcPr>
          <w:p w:rsidR="00AB178C" w:rsidRPr="00587CF5" w:rsidRDefault="00AB178C" w:rsidP="001C63A7">
            <w:r w:rsidRPr="00587CF5">
              <w:t>Увеличение количества привлеченных к культурно-до</w:t>
            </w:r>
            <w:r>
              <w:t xml:space="preserve">суговой деятельности населения </w:t>
            </w:r>
            <w:r w:rsidRPr="00587CF5">
              <w:t>и сокращение количес</w:t>
            </w:r>
            <w:r>
              <w:t>тва</w:t>
            </w:r>
            <w:r w:rsidRPr="00587CF5">
              <w:t xml:space="preserve"> </w:t>
            </w:r>
            <w:r>
              <w:t>ветхих</w:t>
            </w:r>
            <w:r w:rsidRPr="00587CF5">
              <w:t xml:space="preserve"> и аварийных учреждений на 300 мест; </w:t>
            </w:r>
          </w:p>
        </w:tc>
      </w:tr>
      <w:tr w:rsidR="00AB178C" w:rsidRPr="00587CF5" w:rsidTr="001C63A7">
        <w:tc>
          <w:tcPr>
            <w:tcW w:w="3653" w:type="dxa"/>
            <w:tcBorders>
              <w:top w:val="single" w:sz="4" w:space="0" w:color="auto"/>
            </w:tcBorders>
          </w:tcPr>
          <w:p w:rsidR="00AB178C" w:rsidRPr="00587CF5" w:rsidRDefault="00AB178C" w:rsidP="001C63A7"/>
        </w:tc>
        <w:tc>
          <w:tcPr>
            <w:tcW w:w="415" w:type="dxa"/>
            <w:tcBorders>
              <w:top w:val="single" w:sz="4" w:space="0" w:color="auto"/>
            </w:tcBorders>
          </w:tcPr>
          <w:p w:rsidR="00AB178C" w:rsidRPr="00587CF5" w:rsidRDefault="00AB178C" w:rsidP="001C63A7"/>
        </w:tc>
        <w:tc>
          <w:tcPr>
            <w:tcW w:w="5503" w:type="dxa"/>
            <w:tcBorders>
              <w:top w:val="single" w:sz="4" w:space="0" w:color="auto"/>
            </w:tcBorders>
          </w:tcPr>
          <w:p w:rsidR="00AB178C" w:rsidRPr="00587CF5" w:rsidRDefault="00AB178C" w:rsidP="001C63A7"/>
        </w:tc>
      </w:tr>
    </w:tbl>
    <w:p w:rsidR="00AB178C" w:rsidRPr="00015EE5" w:rsidRDefault="00AB178C" w:rsidP="00AB178C">
      <w:pPr>
        <w:jc w:val="center"/>
        <w:rPr>
          <w:b/>
          <w:sz w:val="28"/>
          <w:szCs w:val="28"/>
        </w:rPr>
      </w:pPr>
      <w:r w:rsidRPr="00015EE5">
        <w:rPr>
          <w:b/>
          <w:sz w:val="28"/>
          <w:szCs w:val="28"/>
        </w:rPr>
        <w:lastRenderedPageBreak/>
        <w:t>1. Общая характеристика сферы реализации муниципальной программы, в том числе формулировка основных проблем в указанной сфере и прогноз ее развития.</w:t>
      </w:r>
    </w:p>
    <w:p w:rsidR="00AB178C" w:rsidRPr="00F26841" w:rsidRDefault="00AB178C" w:rsidP="00AB178C">
      <w:pPr>
        <w:rPr>
          <w:sz w:val="28"/>
          <w:szCs w:val="28"/>
        </w:rPr>
      </w:pPr>
    </w:p>
    <w:p w:rsidR="00AB178C" w:rsidRDefault="00AB178C" w:rsidP="00AB178C">
      <w:pPr>
        <w:ind w:firstLine="708"/>
        <w:jc w:val="both"/>
        <w:rPr>
          <w:sz w:val="28"/>
          <w:szCs w:val="28"/>
        </w:rPr>
      </w:pPr>
      <w:r>
        <w:rPr>
          <w:sz w:val="28"/>
          <w:szCs w:val="28"/>
        </w:rPr>
        <w:t>Решение задачи по повышению уровня и качества жизни населения</w:t>
      </w:r>
      <w:r w:rsidRPr="00A65DE9">
        <w:rPr>
          <w:sz w:val="28"/>
          <w:szCs w:val="28"/>
        </w:rPr>
        <w:t xml:space="preserve">, </w:t>
      </w:r>
      <w:r>
        <w:rPr>
          <w:sz w:val="28"/>
          <w:szCs w:val="28"/>
        </w:rPr>
        <w:t xml:space="preserve">устойчивому развитию сельских территорий, </w:t>
      </w:r>
      <w:r w:rsidRPr="00A65DE9">
        <w:rPr>
          <w:sz w:val="28"/>
          <w:szCs w:val="28"/>
        </w:rPr>
        <w:t>предусмотренн</w:t>
      </w:r>
      <w:r>
        <w:rPr>
          <w:sz w:val="28"/>
          <w:szCs w:val="28"/>
        </w:rPr>
        <w:t xml:space="preserve">ой </w:t>
      </w:r>
      <w:r w:rsidRPr="00A65DE9">
        <w:rPr>
          <w:sz w:val="28"/>
          <w:szCs w:val="28"/>
        </w:rPr>
        <w:t xml:space="preserve">Концепцией долгосрочного социально-экономического развития Российской Федерации до 2020 года, </w:t>
      </w:r>
      <w:r>
        <w:rPr>
          <w:sz w:val="28"/>
          <w:szCs w:val="28"/>
        </w:rPr>
        <w:t xml:space="preserve">утвержденной распоряжением Правительства Российской Федерации от 30 ноября 2010 г. № 2136-р, а также задачи по продовольственному обеспечению населения страны, предусмотренной Доктриной продовольственной безопасности Российской Федерации, утвержденной Указом Президента Российской Федерации от 30 января 2010г. № 120, </w:t>
      </w:r>
      <w:r w:rsidRPr="00A65DE9">
        <w:rPr>
          <w:sz w:val="28"/>
          <w:szCs w:val="28"/>
        </w:rPr>
        <w:t>требу</w:t>
      </w:r>
      <w:r>
        <w:rPr>
          <w:sz w:val="28"/>
          <w:szCs w:val="28"/>
        </w:rPr>
        <w:t>е</w:t>
      </w:r>
      <w:r w:rsidRPr="00A65DE9">
        <w:rPr>
          <w:sz w:val="28"/>
          <w:szCs w:val="28"/>
        </w:rPr>
        <w:t>т пересмотра места и роли сельских территорий в осуществлении стратегических социально-экономических преобразований в стране</w:t>
      </w:r>
      <w:r>
        <w:rPr>
          <w:sz w:val="28"/>
          <w:szCs w:val="28"/>
        </w:rPr>
        <w:t>, в том числе принятия мер по созданию предпосылок для устойчивого развития сельских территорий путем:</w:t>
      </w:r>
    </w:p>
    <w:p w:rsidR="00AB178C" w:rsidRDefault="00AB178C" w:rsidP="00AB178C">
      <w:pPr>
        <w:ind w:firstLine="567"/>
        <w:jc w:val="both"/>
        <w:rPr>
          <w:sz w:val="28"/>
          <w:szCs w:val="28"/>
        </w:rPr>
      </w:pPr>
      <w:r>
        <w:rPr>
          <w:sz w:val="28"/>
          <w:szCs w:val="28"/>
        </w:rPr>
        <w:t>повышение уровня комфортности условий жизнедеятельности;</w:t>
      </w:r>
    </w:p>
    <w:p w:rsidR="00AB178C" w:rsidRDefault="00AB178C" w:rsidP="00AB178C">
      <w:pPr>
        <w:autoSpaceDE w:val="0"/>
        <w:autoSpaceDN w:val="0"/>
        <w:adjustRightInd w:val="0"/>
        <w:ind w:firstLine="540"/>
        <w:jc w:val="both"/>
        <w:rPr>
          <w:sz w:val="28"/>
          <w:szCs w:val="28"/>
        </w:rPr>
      </w:pPr>
      <w:r>
        <w:rPr>
          <w:sz w:val="28"/>
          <w:szCs w:val="28"/>
        </w:rPr>
        <w:t>развития в сельской местности местного самоуправления и институтов гражданского общества.</w:t>
      </w:r>
    </w:p>
    <w:p w:rsidR="00AB178C" w:rsidRDefault="00AB178C" w:rsidP="00AB178C">
      <w:pPr>
        <w:ind w:firstLine="708"/>
        <w:jc w:val="both"/>
        <w:rPr>
          <w:sz w:val="28"/>
          <w:szCs w:val="28"/>
        </w:rPr>
      </w:pPr>
      <w:r>
        <w:rPr>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r w:rsidRPr="00895E02">
        <w:rPr>
          <w:sz w:val="28"/>
          <w:szCs w:val="28"/>
        </w:rPr>
        <w:t xml:space="preserve">Соответственно сокращается источник расширенного воспроизводства трудоресурсного потенциала. </w:t>
      </w:r>
    </w:p>
    <w:p w:rsidR="00AB178C" w:rsidRDefault="00AB178C" w:rsidP="00AB178C">
      <w:pPr>
        <w:ind w:firstLine="708"/>
        <w:jc w:val="both"/>
        <w:rPr>
          <w:sz w:val="28"/>
          <w:szCs w:val="28"/>
        </w:rPr>
      </w:pPr>
      <w:r>
        <w:rPr>
          <w:sz w:val="28"/>
          <w:szCs w:val="28"/>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городской территорией,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региональном и муниципальном уровнях.</w:t>
      </w:r>
    </w:p>
    <w:p w:rsidR="00AB178C" w:rsidRDefault="00AB178C" w:rsidP="00AB178C">
      <w:pPr>
        <w:ind w:firstLine="708"/>
        <w:jc w:val="both"/>
        <w:rPr>
          <w:sz w:val="28"/>
          <w:szCs w:val="28"/>
        </w:rPr>
      </w:pPr>
    </w:p>
    <w:p w:rsidR="00AB178C" w:rsidRPr="0025039F" w:rsidRDefault="00AB178C" w:rsidP="00AB178C">
      <w:pPr>
        <w:ind w:left="851"/>
        <w:jc w:val="center"/>
        <w:rPr>
          <w:b/>
          <w:sz w:val="28"/>
          <w:szCs w:val="28"/>
        </w:rPr>
      </w:pPr>
      <w:r w:rsidRPr="0025039F">
        <w:rPr>
          <w:b/>
          <w:sz w:val="28"/>
          <w:szCs w:val="28"/>
        </w:rPr>
        <w:t>2. Приоритеты политики органов местного самоуправления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w:t>
      </w:r>
      <w:r>
        <w:rPr>
          <w:b/>
          <w:sz w:val="28"/>
          <w:szCs w:val="28"/>
        </w:rPr>
        <w:t>изации муниципальной программы</w:t>
      </w:r>
    </w:p>
    <w:p w:rsidR="00AB178C" w:rsidRDefault="00AB178C" w:rsidP="00AB178C">
      <w:pPr>
        <w:jc w:val="both"/>
        <w:rPr>
          <w:sz w:val="28"/>
          <w:szCs w:val="28"/>
        </w:rPr>
      </w:pPr>
    </w:p>
    <w:p w:rsidR="00AB178C" w:rsidRDefault="00AB178C" w:rsidP="00AB178C">
      <w:pPr>
        <w:ind w:firstLine="708"/>
        <w:jc w:val="both"/>
        <w:rPr>
          <w:sz w:val="28"/>
          <w:szCs w:val="28"/>
        </w:rPr>
      </w:pPr>
      <w:r w:rsidRPr="0016510C">
        <w:rPr>
          <w:sz w:val="28"/>
          <w:szCs w:val="28"/>
        </w:rPr>
        <w:t>Насто</w:t>
      </w:r>
      <w:r>
        <w:rPr>
          <w:sz w:val="28"/>
          <w:szCs w:val="28"/>
        </w:rPr>
        <w:t xml:space="preserve">ящая 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Концепцией устойчивого развития сельских территорий Российской Федерации на период до 2020 года, утвержденной распоряжением Правительства Российской Федерации </w:t>
      </w:r>
      <w:r w:rsidRPr="00313EDE">
        <w:rPr>
          <w:sz w:val="28"/>
          <w:szCs w:val="28"/>
        </w:rPr>
        <w:t xml:space="preserve">от 30 ноября 2010 г. </w:t>
      </w:r>
      <w:r>
        <w:rPr>
          <w:sz w:val="28"/>
          <w:szCs w:val="28"/>
        </w:rPr>
        <w:t>№</w:t>
      </w:r>
      <w:r>
        <w:t xml:space="preserve"> </w:t>
      </w:r>
      <w:r w:rsidRPr="00313EDE">
        <w:rPr>
          <w:sz w:val="28"/>
          <w:szCs w:val="28"/>
        </w:rPr>
        <w:t>2136-р</w:t>
      </w:r>
      <w:r>
        <w:rPr>
          <w:sz w:val="28"/>
          <w:szCs w:val="28"/>
        </w:rPr>
        <w:t>, Стратегией социально-экономического развития муниципального образования «Кошехабльский район» до 2020 года, утвержденной в 2007 году. В соответствии с Концепцией и стратегией</w:t>
      </w:r>
      <w:r>
        <w:t xml:space="preserve"> </w:t>
      </w:r>
      <w:r>
        <w:rPr>
          <w:sz w:val="28"/>
          <w:szCs w:val="28"/>
        </w:rPr>
        <w:lastRenderedPageBreak/>
        <w:t>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AB178C" w:rsidRDefault="00AB178C" w:rsidP="00AB178C">
      <w:pPr>
        <w:ind w:firstLine="708"/>
        <w:jc w:val="both"/>
        <w:rPr>
          <w:sz w:val="28"/>
          <w:szCs w:val="28"/>
        </w:rPr>
      </w:pPr>
      <w:r>
        <w:rPr>
          <w:sz w:val="28"/>
          <w:szCs w:val="28"/>
        </w:rPr>
        <w:t>Реализация Программы направлена на создание предпосылок для устойчивого развития сельских территорий посредством достижения следующих целей:</w:t>
      </w:r>
    </w:p>
    <w:p w:rsidR="00AB178C" w:rsidRDefault="00AB178C" w:rsidP="00AB178C">
      <w:pPr>
        <w:ind w:firstLine="708"/>
        <w:jc w:val="both"/>
        <w:rPr>
          <w:sz w:val="28"/>
          <w:szCs w:val="28"/>
        </w:rPr>
      </w:pPr>
      <w:r>
        <w:rPr>
          <w:sz w:val="28"/>
          <w:szCs w:val="28"/>
        </w:rPr>
        <w:t>активизация участия граждан, проживающих в сельской местности, в решении вопросов местного значения;</w:t>
      </w:r>
    </w:p>
    <w:p w:rsidR="00AB178C" w:rsidRDefault="00AB178C" w:rsidP="00AB178C">
      <w:pPr>
        <w:ind w:firstLine="708"/>
        <w:jc w:val="both"/>
        <w:rPr>
          <w:sz w:val="28"/>
          <w:szCs w:val="28"/>
        </w:rPr>
      </w:pPr>
      <w:r>
        <w:rPr>
          <w:sz w:val="28"/>
          <w:szCs w:val="28"/>
        </w:rPr>
        <w:t>формирование позитивного отношения к сельской местности и сельскому образу жизни.</w:t>
      </w:r>
    </w:p>
    <w:p w:rsidR="00AB178C" w:rsidRDefault="00AB178C" w:rsidP="00AB178C">
      <w:pPr>
        <w:ind w:firstLine="709"/>
        <w:jc w:val="both"/>
        <w:rPr>
          <w:sz w:val="28"/>
          <w:szCs w:val="28"/>
        </w:rPr>
      </w:pPr>
      <w:r>
        <w:rPr>
          <w:sz w:val="28"/>
          <w:szCs w:val="28"/>
        </w:rPr>
        <w:t>Реализация Программы будет осуществляться поэтапно.</w:t>
      </w:r>
    </w:p>
    <w:p w:rsidR="00AB178C" w:rsidRDefault="00AB178C" w:rsidP="00AB178C">
      <w:pPr>
        <w:ind w:firstLine="708"/>
        <w:jc w:val="both"/>
        <w:rPr>
          <w:sz w:val="28"/>
          <w:szCs w:val="28"/>
        </w:rPr>
      </w:pPr>
      <w:r>
        <w:rPr>
          <w:sz w:val="28"/>
          <w:szCs w:val="28"/>
        </w:rPr>
        <w:t>Реализация Программы (2018-2020 годы) предполагает наращивание темпов комплексного развития сельских территорий согласно прогнозируемому росту потребности в создании комфортных условий проживания в сельской местности.</w:t>
      </w:r>
    </w:p>
    <w:p w:rsidR="00AB178C" w:rsidRDefault="00AB178C" w:rsidP="00AB178C">
      <w:pPr>
        <w:ind w:firstLine="708"/>
        <w:jc w:val="both"/>
        <w:rPr>
          <w:sz w:val="28"/>
          <w:szCs w:val="28"/>
        </w:rPr>
      </w:pPr>
    </w:p>
    <w:p w:rsidR="00AB178C" w:rsidRPr="0025039F" w:rsidRDefault="00AB178C" w:rsidP="00AB178C">
      <w:pPr>
        <w:ind w:left="851"/>
        <w:jc w:val="center"/>
        <w:rPr>
          <w:b/>
          <w:sz w:val="28"/>
          <w:szCs w:val="28"/>
        </w:rPr>
      </w:pPr>
      <w:r w:rsidRPr="0025039F">
        <w:rPr>
          <w:b/>
          <w:sz w:val="28"/>
          <w:szCs w:val="28"/>
        </w:rPr>
        <w:t>3. Обобщенная характеристика мероприятий муниципальной программы</w:t>
      </w:r>
    </w:p>
    <w:p w:rsidR="00AB178C" w:rsidRDefault="00AB178C" w:rsidP="00AB178C">
      <w:pPr>
        <w:rPr>
          <w:sz w:val="28"/>
          <w:szCs w:val="28"/>
        </w:rPr>
      </w:pPr>
      <w:r>
        <w:rPr>
          <w:sz w:val="28"/>
          <w:szCs w:val="28"/>
        </w:rPr>
        <w:t xml:space="preserve"> </w:t>
      </w:r>
    </w:p>
    <w:p w:rsidR="00AB178C" w:rsidRDefault="00AB178C" w:rsidP="00AB178C">
      <w:pPr>
        <w:ind w:firstLine="840"/>
        <w:jc w:val="both"/>
        <w:rPr>
          <w:sz w:val="28"/>
          <w:szCs w:val="28"/>
        </w:rPr>
      </w:pPr>
      <w:r>
        <w:rPr>
          <w:sz w:val="28"/>
          <w:szCs w:val="28"/>
        </w:rPr>
        <w:t>Перечень мероприятий 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2020 года и Концепции  Программы с учетом анализа современного состояния и прогнозов развития сельских территорий,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AB178C" w:rsidRDefault="00AB178C" w:rsidP="00AB178C">
      <w:pPr>
        <w:ind w:firstLine="840"/>
        <w:jc w:val="both"/>
        <w:rPr>
          <w:sz w:val="28"/>
          <w:szCs w:val="28"/>
        </w:rPr>
      </w:pPr>
      <w:r w:rsidRPr="008C447D">
        <w:rPr>
          <w:sz w:val="28"/>
          <w:szCs w:val="28"/>
        </w:rPr>
        <w:t>В состав Программы</w:t>
      </w:r>
      <w:r>
        <w:rPr>
          <w:sz w:val="28"/>
          <w:szCs w:val="28"/>
        </w:rPr>
        <w:t xml:space="preserve"> включены следующие мероприятия:</w:t>
      </w:r>
    </w:p>
    <w:p w:rsidR="00AB178C" w:rsidRPr="009E339E" w:rsidRDefault="00AB178C" w:rsidP="00AB178C">
      <w:pPr>
        <w:ind w:firstLine="840"/>
        <w:jc w:val="both"/>
        <w:rPr>
          <w:sz w:val="28"/>
          <w:szCs w:val="28"/>
        </w:rPr>
      </w:pPr>
      <w:r>
        <w:rPr>
          <w:sz w:val="28"/>
          <w:szCs w:val="28"/>
        </w:rPr>
        <w:t>-</w:t>
      </w:r>
      <w:r w:rsidRPr="009E339E">
        <w:rPr>
          <w:sz w:val="28"/>
          <w:szCs w:val="28"/>
        </w:rPr>
        <w:t xml:space="preserve"> </w:t>
      </w:r>
      <w:r>
        <w:rPr>
          <w:sz w:val="28"/>
          <w:szCs w:val="28"/>
        </w:rPr>
        <w:t>Комплексное о</w:t>
      </w:r>
      <w:r w:rsidRPr="009E339E">
        <w:rPr>
          <w:sz w:val="28"/>
          <w:szCs w:val="28"/>
        </w:rPr>
        <w:t xml:space="preserve">бустройство </w:t>
      </w:r>
      <w:r>
        <w:rPr>
          <w:sz w:val="28"/>
          <w:szCs w:val="28"/>
        </w:rPr>
        <w:t xml:space="preserve">населенных пунктов, расположенных </w:t>
      </w:r>
      <w:r w:rsidRPr="009E339E">
        <w:rPr>
          <w:sz w:val="28"/>
          <w:szCs w:val="28"/>
        </w:rPr>
        <w:t>в сельской местности</w:t>
      </w:r>
      <w:r>
        <w:rPr>
          <w:sz w:val="28"/>
          <w:szCs w:val="28"/>
        </w:rPr>
        <w:t>,</w:t>
      </w:r>
      <w:r w:rsidRPr="009E339E">
        <w:rPr>
          <w:sz w:val="28"/>
          <w:szCs w:val="28"/>
        </w:rPr>
        <w:t xml:space="preserve"> объектами социальной и инженерной инфраструктуры:</w:t>
      </w:r>
    </w:p>
    <w:p w:rsidR="00AB178C" w:rsidRPr="009E339E" w:rsidRDefault="00AB178C" w:rsidP="00AB178C">
      <w:pPr>
        <w:ind w:firstLine="840"/>
        <w:jc w:val="both"/>
        <w:rPr>
          <w:sz w:val="28"/>
          <w:szCs w:val="28"/>
        </w:rPr>
      </w:pPr>
      <w:r>
        <w:rPr>
          <w:sz w:val="28"/>
          <w:szCs w:val="28"/>
        </w:rPr>
        <w:t>а</w:t>
      </w:r>
      <w:r w:rsidRPr="009E339E">
        <w:rPr>
          <w:sz w:val="28"/>
          <w:szCs w:val="28"/>
        </w:rPr>
        <w:t>) развитие сети учреждений культурно-досугового типа</w:t>
      </w:r>
      <w:r>
        <w:rPr>
          <w:sz w:val="28"/>
          <w:szCs w:val="28"/>
        </w:rPr>
        <w:t xml:space="preserve"> в сельской местности</w:t>
      </w:r>
      <w:r w:rsidRPr="009E339E">
        <w:rPr>
          <w:sz w:val="28"/>
          <w:szCs w:val="28"/>
        </w:rPr>
        <w:t>;</w:t>
      </w:r>
    </w:p>
    <w:p w:rsidR="00AB178C" w:rsidRPr="00704783" w:rsidRDefault="00AB178C" w:rsidP="00AB178C">
      <w:pPr>
        <w:ind w:firstLine="840"/>
        <w:jc w:val="both"/>
        <w:rPr>
          <w:sz w:val="28"/>
          <w:szCs w:val="28"/>
        </w:rPr>
      </w:pPr>
      <w:r w:rsidRPr="00704783">
        <w:rPr>
          <w:sz w:val="28"/>
          <w:szCs w:val="28"/>
        </w:rPr>
        <w:t xml:space="preserve">Реализация </w:t>
      </w:r>
      <w:r w:rsidRPr="00704783">
        <w:rPr>
          <w:b/>
          <w:sz w:val="28"/>
          <w:szCs w:val="28"/>
        </w:rPr>
        <w:t xml:space="preserve">мероприятий по комплексному обустройству населенных пунктов, расположенных в сельской местности, объектами социальной и инженерной инфраструктуры </w:t>
      </w:r>
      <w:r w:rsidRPr="00704783">
        <w:rPr>
          <w:sz w:val="28"/>
          <w:szCs w:val="28"/>
        </w:rPr>
        <w:t>осуществляется по направлени</w:t>
      </w:r>
      <w:r>
        <w:rPr>
          <w:sz w:val="28"/>
          <w:szCs w:val="28"/>
        </w:rPr>
        <w:t>ю</w:t>
      </w:r>
      <w:r w:rsidRPr="00704783">
        <w:rPr>
          <w:sz w:val="28"/>
          <w:szCs w:val="28"/>
        </w:rPr>
        <w:t>:</w:t>
      </w:r>
    </w:p>
    <w:p w:rsidR="00AB178C" w:rsidRPr="00704783" w:rsidRDefault="00AB178C" w:rsidP="00AB178C">
      <w:pPr>
        <w:ind w:firstLine="708"/>
        <w:jc w:val="both"/>
        <w:rPr>
          <w:sz w:val="28"/>
          <w:szCs w:val="28"/>
        </w:rPr>
      </w:pPr>
      <w:r w:rsidRPr="00704783">
        <w:rPr>
          <w:sz w:val="28"/>
          <w:szCs w:val="28"/>
        </w:rPr>
        <w:t>а) обустройств</w:t>
      </w:r>
      <w:r>
        <w:rPr>
          <w:sz w:val="28"/>
          <w:szCs w:val="28"/>
        </w:rPr>
        <w:t>о</w:t>
      </w:r>
      <w:r w:rsidRPr="00704783">
        <w:rPr>
          <w:sz w:val="28"/>
          <w:szCs w:val="28"/>
        </w:rPr>
        <w:t xml:space="preserve"> населенных пунктов, расположенных в сельской местности, объектами социальной и инженерной инфраструктуры с учетом комплексного </w:t>
      </w:r>
      <w:r>
        <w:rPr>
          <w:sz w:val="28"/>
          <w:szCs w:val="28"/>
        </w:rPr>
        <w:t xml:space="preserve">(проектного) </w:t>
      </w:r>
      <w:r w:rsidRPr="00704783">
        <w:rPr>
          <w:sz w:val="28"/>
          <w:szCs w:val="28"/>
        </w:rPr>
        <w:t>подхода</w:t>
      </w:r>
    </w:p>
    <w:p w:rsidR="00AB178C" w:rsidRDefault="00AB178C" w:rsidP="00AB178C">
      <w:pPr>
        <w:ind w:firstLine="708"/>
        <w:jc w:val="both"/>
        <w:rPr>
          <w:sz w:val="28"/>
          <w:szCs w:val="28"/>
        </w:rPr>
      </w:pPr>
      <w:r>
        <w:rPr>
          <w:sz w:val="28"/>
          <w:szCs w:val="28"/>
        </w:rPr>
        <w:lastRenderedPageBreak/>
        <w:t xml:space="preserve">В рамках данного направления предусматривается оказание государственной поддержки на развитие сети следующих объектов </w:t>
      </w:r>
      <w:r w:rsidRPr="009E339E">
        <w:rPr>
          <w:sz w:val="28"/>
          <w:szCs w:val="28"/>
        </w:rPr>
        <w:t>социальной и инженерной инфраструктуры</w:t>
      </w:r>
      <w:r>
        <w:rPr>
          <w:sz w:val="28"/>
          <w:szCs w:val="28"/>
        </w:rPr>
        <w:t xml:space="preserve"> в сельской местности:</w:t>
      </w:r>
    </w:p>
    <w:p w:rsidR="00AB178C" w:rsidRDefault="00AB178C" w:rsidP="00AB178C">
      <w:pPr>
        <w:ind w:firstLine="708"/>
        <w:jc w:val="both"/>
        <w:rPr>
          <w:sz w:val="28"/>
          <w:szCs w:val="28"/>
        </w:rPr>
      </w:pPr>
      <w:r>
        <w:rPr>
          <w:sz w:val="28"/>
          <w:szCs w:val="28"/>
        </w:rPr>
        <w:t>учреждения культурно-досугового типа;</w:t>
      </w:r>
    </w:p>
    <w:p w:rsidR="00AB178C" w:rsidRPr="00B62E08" w:rsidRDefault="00AB178C" w:rsidP="00AB178C">
      <w:pPr>
        <w:ind w:firstLine="709"/>
        <w:jc w:val="both"/>
        <w:rPr>
          <w:sz w:val="28"/>
          <w:szCs w:val="28"/>
        </w:rPr>
      </w:pPr>
      <w:r w:rsidRPr="00B62E08">
        <w:rPr>
          <w:sz w:val="28"/>
          <w:szCs w:val="28"/>
        </w:rPr>
        <w:t>Распределение объемов финансирования мероприятий по источникам финансирования и годам реализации Программы представлено в таблице.</w:t>
      </w:r>
    </w:p>
    <w:p w:rsidR="00AB178C" w:rsidRDefault="00AB178C" w:rsidP="00AB178C">
      <w:pPr>
        <w:autoSpaceDE w:val="0"/>
        <w:autoSpaceDN w:val="0"/>
        <w:adjustRightInd w:val="0"/>
        <w:rPr>
          <w:rFonts w:eastAsia="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48"/>
        <w:gridCol w:w="1466"/>
        <w:gridCol w:w="1450"/>
        <w:gridCol w:w="1451"/>
      </w:tblGrid>
      <w:tr w:rsidR="00AB178C" w:rsidRPr="00F44361" w:rsidTr="001C63A7">
        <w:tc>
          <w:tcPr>
            <w:tcW w:w="1728" w:type="dxa"/>
            <w:vMerge w:val="restart"/>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Наименование</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объекта</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капитального</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строительства</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(объекта</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недвижимого</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имущества)</w:t>
            </w:r>
          </w:p>
          <w:p w:rsidR="00AB178C" w:rsidRPr="00F44361" w:rsidRDefault="00AB178C" w:rsidP="001C63A7">
            <w:pPr>
              <w:autoSpaceDE w:val="0"/>
              <w:autoSpaceDN w:val="0"/>
              <w:adjustRightInd w:val="0"/>
              <w:rPr>
                <w:rFonts w:eastAsia="Calibri"/>
                <w:sz w:val="21"/>
                <w:szCs w:val="21"/>
              </w:rPr>
            </w:pPr>
          </w:p>
        </w:tc>
        <w:tc>
          <w:tcPr>
            <w:tcW w:w="1728" w:type="dxa"/>
            <w:vMerge w:val="restart"/>
            <w:shd w:val="clear" w:color="auto" w:fill="auto"/>
          </w:tcPr>
          <w:p w:rsidR="00AB178C" w:rsidRPr="00F44361" w:rsidRDefault="00AB178C" w:rsidP="001C63A7">
            <w:pPr>
              <w:autoSpaceDE w:val="0"/>
              <w:autoSpaceDN w:val="0"/>
              <w:adjustRightInd w:val="0"/>
              <w:rPr>
                <w:rFonts w:eastAsia="Calibri"/>
                <w:sz w:val="19"/>
                <w:szCs w:val="19"/>
              </w:rPr>
            </w:pPr>
            <w:r w:rsidRPr="00F44361">
              <w:rPr>
                <w:rFonts w:eastAsia="Calibri"/>
                <w:sz w:val="19"/>
                <w:szCs w:val="19"/>
              </w:rPr>
              <w:t>Местонахождение</w:t>
            </w:r>
          </w:p>
          <w:p w:rsidR="00AB178C" w:rsidRPr="00F44361" w:rsidRDefault="00AB178C" w:rsidP="001C63A7">
            <w:pPr>
              <w:autoSpaceDE w:val="0"/>
              <w:autoSpaceDN w:val="0"/>
              <w:adjustRightInd w:val="0"/>
              <w:rPr>
                <w:rFonts w:eastAsia="Calibri"/>
                <w:sz w:val="19"/>
                <w:szCs w:val="19"/>
              </w:rPr>
            </w:pPr>
            <w:r w:rsidRPr="00F44361">
              <w:rPr>
                <w:rFonts w:eastAsia="Calibri"/>
                <w:sz w:val="19"/>
                <w:szCs w:val="19"/>
              </w:rPr>
              <w:t>(адрес)</w:t>
            </w:r>
          </w:p>
          <w:p w:rsidR="00AB178C" w:rsidRPr="00F44361" w:rsidRDefault="00AB178C" w:rsidP="001C63A7">
            <w:pPr>
              <w:autoSpaceDE w:val="0"/>
              <w:autoSpaceDN w:val="0"/>
              <w:adjustRightInd w:val="0"/>
              <w:rPr>
                <w:rFonts w:eastAsia="Calibri"/>
                <w:sz w:val="21"/>
                <w:szCs w:val="21"/>
              </w:rPr>
            </w:pPr>
          </w:p>
        </w:tc>
        <w:tc>
          <w:tcPr>
            <w:tcW w:w="1748" w:type="dxa"/>
            <w:vMerge w:val="restart"/>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Направление</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инвестирования</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(строительство, проектно-</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изыскательские работы</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реконструкция,</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техническое</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перевооружение,</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приобретение)</w:t>
            </w:r>
          </w:p>
          <w:p w:rsidR="00AB178C" w:rsidRPr="00F44361" w:rsidRDefault="00AB178C" w:rsidP="001C63A7">
            <w:pPr>
              <w:autoSpaceDE w:val="0"/>
              <w:autoSpaceDN w:val="0"/>
              <w:adjustRightInd w:val="0"/>
              <w:rPr>
                <w:rFonts w:eastAsia="Calibri"/>
                <w:sz w:val="21"/>
                <w:szCs w:val="21"/>
              </w:rPr>
            </w:pPr>
          </w:p>
        </w:tc>
        <w:tc>
          <w:tcPr>
            <w:tcW w:w="4367" w:type="dxa"/>
            <w:gridSpan w:val="3"/>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Объем финансового обеспечения капитальных вложений,</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предусмотренный в местном бюджете, руб</w:t>
            </w:r>
          </w:p>
          <w:p w:rsidR="00AB178C" w:rsidRPr="00F44361" w:rsidRDefault="00AB178C" w:rsidP="001C63A7">
            <w:pPr>
              <w:autoSpaceDE w:val="0"/>
              <w:autoSpaceDN w:val="0"/>
              <w:adjustRightInd w:val="0"/>
              <w:rPr>
                <w:rFonts w:eastAsia="Calibri"/>
                <w:sz w:val="21"/>
                <w:szCs w:val="21"/>
              </w:rPr>
            </w:pPr>
          </w:p>
        </w:tc>
      </w:tr>
      <w:tr w:rsidR="00AB178C" w:rsidRPr="00F44361" w:rsidTr="001C63A7">
        <w:trPr>
          <w:trHeight w:val="734"/>
        </w:trPr>
        <w:tc>
          <w:tcPr>
            <w:tcW w:w="1728" w:type="dxa"/>
            <w:vMerge/>
            <w:shd w:val="clear" w:color="auto" w:fill="auto"/>
          </w:tcPr>
          <w:p w:rsidR="00AB178C" w:rsidRPr="00F44361" w:rsidRDefault="00AB178C" w:rsidP="001C63A7">
            <w:pPr>
              <w:autoSpaceDE w:val="0"/>
              <w:autoSpaceDN w:val="0"/>
              <w:adjustRightInd w:val="0"/>
              <w:rPr>
                <w:rFonts w:eastAsia="Calibri"/>
                <w:sz w:val="21"/>
                <w:szCs w:val="21"/>
              </w:rPr>
            </w:pPr>
          </w:p>
        </w:tc>
        <w:tc>
          <w:tcPr>
            <w:tcW w:w="1728" w:type="dxa"/>
            <w:vMerge/>
            <w:shd w:val="clear" w:color="auto" w:fill="auto"/>
          </w:tcPr>
          <w:p w:rsidR="00AB178C" w:rsidRPr="00F44361" w:rsidRDefault="00AB178C" w:rsidP="001C63A7">
            <w:pPr>
              <w:autoSpaceDE w:val="0"/>
              <w:autoSpaceDN w:val="0"/>
              <w:adjustRightInd w:val="0"/>
              <w:rPr>
                <w:rFonts w:eastAsia="Calibri"/>
                <w:sz w:val="21"/>
                <w:szCs w:val="21"/>
              </w:rPr>
            </w:pPr>
          </w:p>
        </w:tc>
        <w:tc>
          <w:tcPr>
            <w:tcW w:w="1748" w:type="dxa"/>
            <w:vMerge/>
            <w:shd w:val="clear" w:color="auto" w:fill="auto"/>
          </w:tcPr>
          <w:p w:rsidR="00AB178C" w:rsidRPr="00F44361" w:rsidRDefault="00AB178C" w:rsidP="001C63A7">
            <w:pPr>
              <w:autoSpaceDE w:val="0"/>
              <w:autoSpaceDN w:val="0"/>
              <w:adjustRightInd w:val="0"/>
              <w:rPr>
                <w:rFonts w:eastAsia="Calibri"/>
                <w:sz w:val="21"/>
                <w:szCs w:val="21"/>
              </w:rPr>
            </w:pPr>
          </w:p>
        </w:tc>
        <w:tc>
          <w:tcPr>
            <w:tcW w:w="1466"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текущий</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2018г.</w:t>
            </w:r>
          </w:p>
        </w:tc>
        <w:tc>
          <w:tcPr>
            <w:tcW w:w="1450"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2019г.</w:t>
            </w:r>
          </w:p>
        </w:tc>
        <w:tc>
          <w:tcPr>
            <w:tcW w:w="1451"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2020г.</w:t>
            </w:r>
          </w:p>
          <w:p w:rsidR="00AB178C" w:rsidRPr="00F44361" w:rsidRDefault="00AB178C" w:rsidP="001C63A7">
            <w:pPr>
              <w:autoSpaceDE w:val="0"/>
              <w:autoSpaceDN w:val="0"/>
              <w:adjustRightInd w:val="0"/>
              <w:rPr>
                <w:rFonts w:eastAsia="Calibri"/>
                <w:sz w:val="21"/>
                <w:szCs w:val="21"/>
              </w:rPr>
            </w:pPr>
          </w:p>
        </w:tc>
      </w:tr>
      <w:tr w:rsidR="00AB178C" w:rsidRPr="00F44361" w:rsidTr="001C63A7">
        <w:tc>
          <w:tcPr>
            <w:tcW w:w="1728"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1</w:t>
            </w:r>
          </w:p>
        </w:tc>
        <w:tc>
          <w:tcPr>
            <w:tcW w:w="1728"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2</w:t>
            </w:r>
          </w:p>
        </w:tc>
        <w:tc>
          <w:tcPr>
            <w:tcW w:w="1748"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3</w:t>
            </w:r>
          </w:p>
        </w:tc>
        <w:tc>
          <w:tcPr>
            <w:tcW w:w="1466"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4</w:t>
            </w:r>
          </w:p>
        </w:tc>
        <w:tc>
          <w:tcPr>
            <w:tcW w:w="1450"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5</w:t>
            </w:r>
          </w:p>
        </w:tc>
        <w:tc>
          <w:tcPr>
            <w:tcW w:w="1451" w:type="dxa"/>
            <w:shd w:val="clear" w:color="auto" w:fill="auto"/>
          </w:tcPr>
          <w:p w:rsidR="00AB178C" w:rsidRPr="00F44361" w:rsidRDefault="00AB178C" w:rsidP="001C63A7">
            <w:pPr>
              <w:autoSpaceDE w:val="0"/>
              <w:autoSpaceDN w:val="0"/>
              <w:adjustRightInd w:val="0"/>
              <w:jc w:val="center"/>
              <w:rPr>
                <w:rFonts w:eastAsia="Calibri"/>
                <w:sz w:val="21"/>
                <w:szCs w:val="21"/>
              </w:rPr>
            </w:pPr>
            <w:r w:rsidRPr="00F44361">
              <w:rPr>
                <w:rFonts w:eastAsia="Calibri"/>
                <w:sz w:val="21"/>
                <w:szCs w:val="21"/>
              </w:rPr>
              <w:t>6</w:t>
            </w:r>
          </w:p>
        </w:tc>
      </w:tr>
      <w:tr w:rsidR="00AB178C" w:rsidRPr="00F44361" w:rsidTr="001C63A7">
        <w:tc>
          <w:tcPr>
            <w:tcW w:w="1728"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Дом культуры в</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ауле Ходзь МО</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"Кошехабльский</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район"</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Республики</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Адыгея</w:t>
            </w:r>
          </w:p>
        </w:tc>
        <w:tc>
          <w:tcPr>
            <w:tcW w:w="1728"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Республика</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Адыгея МО</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"Кошехабльский</w:t>
            </w:r>
          </w:p>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район" аул Ходзь</w:t>
            </w:r>
          </w:p>
        </w:tc>
        <w:tc>
          <w:tcPr>
            <w:tcW w:w="1748"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Строительство</w:t>
            </w:r>
          </w:p>
        </w:tc>
        <w:tc>
          <w:tcPr>
            <w:tcW w:w="1466"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13 415 088,89</w:t>
            </w:r>
          </w:p>
        </w:tc>
        <w:tc>
          <w:tcPr>
            <w:tcW w:w="1450"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15 214 222,22</w:t>
            </w:r>
          </w:p>
          <w:p w:rsidR="00AB178C" w:rsidRPr="00F44361" w:rsidRDefault="00AB178C" w:rsidP="001C63A7">
            <w:pPr>
              <w:autoSpaceDE w:val="0"/>
              <w:autoSpaceDN w:val="0"/>
              <w:adjustRightInd w:val="0"/>
              <w:rPr>
                <w:rFonts w:eastAsia="Calibri"/>
                <w:sz w:val="21"/>
                <w:szCs w:val="21"/>
              </w:rPr>
            </w:pPr>
          </w:p>
        </w:tc>
        <w:tc>
          <w:tcPr>
            <w:tcW w:w="1451" w:type="dxa"/>
            <w:shd w:val="clear" w:color="auto" w:fill="auto"/>
          </w:tcPr>
          <w:p w:rsidR="00AB178C" w:rsidRPr="00F44361" w:rsidRDefault="00AB178C" w:rsidP="001C63A7">
            <w:pPr>
              <w:autoSpaceDE w:val="0"/>
              <w:autoSpaceDN w:val="0"/>
              <w:adjustRightInd w:val="0"/>
              <w:rPr>
                <w:rFonts w:eastAsia="Calibri"/>
                <w:sz w:val="21"/>
                <w:szCs w:val="21"/>
              </w:rPr>
            </w:pPr>
            <w:r w:rsidRPr="00F44361">
              <w:rPr>
                <w:rFonts w:eastAsia="Calibri"/>
                <w:sz w:val="21"/>
                <w:szCs w:val="21"/>
              </w:rPr>
              <w:t>23 110 808,89</w:t>
            </w:r>
          </w:p>
        </w:tc>
      </w:tr>
    </w:tbl>
    <w:p w:rsidR="00AB178C" w:rsidRDefault="00AB178C" w:rsidP="00AB178C">
      <w:pPr>
        <w:autoSpaceDE w:val="0"/>
        <w:autoSpaceDN w:val="0"/>
        <w:adjustRightInd w:val="0"/>
      </w:pPr>
    </w:p>
    <w:p w:rsidR="00AB178C" w:rsidRPr="001234BC" w:rsidRDefault="00AB178C" w:rsidP="00AB178C">
      <w:pPr>
        <w:ind w:firstLine="840"/>
        <w:jc w:val="both"/>
        <w:rPr>
          <w:sz w:val="28"/>
          <w:szCs w:val="28"/>
        </w:rPr>
      </w:pPr>
      <w:r>
        <w:rPr>
          <w:sz w:val="28"/>
          <w:szCs w:val="28"/>
        </w:rPr>
        <w:t>За период реализации Программы предусматривается ввести культурно-досуговые учреждения на 3</w:t>
      </w:r>
      <w:r w:rsidRPr="001234BC">
        <w:rPr>
          <w:sz w:val="28"/>
          <w:szCs w:val="28"/>
        </w:rPr>
        <w:t xml:space="preserve">00 </w:t>
      </w:r>
      <w:r>
        <w:rPr>
          <w:sz w:val="28"/>
          <w:szCs w:val="28"/>
        </w:rPr>
        <w:t>зритель</w:t>
      </w:r>
      <w:r w:rsidRPr="001234BC">
        <w:rPr>
          <w:sz w:val="28"/>
          <w:szCs w:val="28"/>
        </w:rPr>
        <w:t xml:space="preserve">ских мест, </w:t>
      </w:r>
    </w:p>
    <w:p w:rsidR="00AB178C" w:rsidRDefault="00AB178C" w:rsidP="00AB178C">
      <w:pPr>
        <w:ind w:firstLine="840"/>
        <w:jc w:val="both"/>
        <w:rPr>
          <w:sz w:val="28"/>
          <w:szCs w:val="28"/>
        </w:rPr>
      </w:pPr>
    </w:p>
    <w:p w:rsidR="00AB178C" w:rsidRPr="007C06D8" w:rsidRDefault="00AB178C" w:rsidP="00AB178C">
      <w:pPr>
        <w:ind w:firstLine="840"/>
        <w:jc w:val="center"/>
        <w:rPr>
          <w:b/>
          <w:sz w:val="28"/>
          <w:szCs w:val="28"/>
        </w:rPr>
      </w:pPr>
      <w:r w:rsidRPr="007C06D8">
        <w:rPr>
          <w:b/>
          <w:sz w:val="28"/>
          <w:szCs w:val="28"/>
        </w:rPr>
        <w:t>4. Основные меры правового регулирования в сфере реализации муниципальной программы</w:t>
      </w:r>
    </w:p>
    <w:p w:rsidR="00AB178C" w:rsidRDefault="00AB178C" w:rsidP="00AB178C">
      <w:pPr>
        <w:ind w:firstLine="840"/>
        <w:jc w:val="both"/>
        <w:rPr>
          <w:sz w:val="28"/>
          <w:szCs w:val="28"/>
        </w:rPr>
      </w:pPr>
    </w:p>
    <w:p w:rsidR="00AB178C" w:rsidRPr="00726BD6" w:rsidRDefault="00AB178C" w:rsidP="00AB178C">
      <w:pPr>
        <w:ind w:firstLine="851"/>
        <w:jc w:val="both"/>
        <w:rPr>
          <w:sz w:val="28"/>
          <w:szCs w:val="28"/>
        </w:rPr>
      </w:pPr>
      <w:r w:rsidRPr="00726BD6">
        <w:rPr>
          <w:sz w:val="28"/>
          <w:szCs w:val="28"/>
        </w:rPr>
        <w:t>Заказчиком - координатором Программы является администрация муниципальное образование «Ходзинское сельское поселение», заказчиком - администрация муниципальное образование «Ходзинское сельское поселение» и разработчиком Программы является администрация муниципальное образование «Ходзинское сельское поселение»</w:t>
      </w:r>
    </w:p>
    <w:p w:rsidR="00AB178C" w:rsidRDefault="00AB178C" w:rsidP="00AB178C">
      <w:pPr>
        <w:ind w:firstLine="708"/>
        <w:jc w:val="both"/>
        <w:rPr>
          <w:sz w:val="28"/>
          <w:szCs w:val="28"/>
        </w:rPr>
      </w:pPr>
      <w:r>
        <w:rPr>
          <w:sz w:val="28"/>
          <w:szCs w:val="28"/>
        </w:rPr>
        <w:t xml:space="preserve">Администрация </w:t>
      </w:r>
      <w:r w:rsidRPr="007A06BB">
        <w:rPr>
          <w:sz w:val="28"/>
          <w:szCs w:val="28"/>
        </w:rPr>
        <w:t xml:space="preserve">муниципального образования «Ходзинское сельское поселение» </w:t>
      </w:r>
      <w:r>
        <w:rPr>
          <w:sz w:val="28"/>
          <w:szCs w:val="28"/>
        </w:rPr>
        <w:t>- заказчик-координатор Программы осуществляет управление реализацией Программы, в том числе:</w:t>
      </w:r>
    </w:p>
    <w:p w:rsidR="00AB178C" w:rsidRDefault="00AB178C" w:rsidP="00AB178C">
      <w:pPr>
        <w:ind w:firstLine="708"/>
        <w:jc w:val="both"/>
        <w:rPr>
          <w:sz w:val="28"/>
          <w:szCs w:val="28"/>
        </w:rPr>
      </w:pPr>
      <w:r>
        <w:rPr>
          <w:sz w:val="28"/>
          <w:szCs w:val="28"/>
        </w:rPr>
        <w:t>несет ответственность за подготовку и реализацию Программы в целом, включая подготовку проектов решений Совета народных депутатов об утверждении Программы, внесении в нее изменений, досрочном прекращении реализации Программы, согласовании с заинтересованными органами исполнительской власти и представление информации и отчетности о ходе реализации Программы;</w:t>
      </w:r>
    </w:p>
    <w:p w:rsidR="00AB178C" w:rsidRDefault="00AB178C" w:rsidP="00AB178C">
      <w:pPr>
        <w:ind w:firstLine="720"/>
        <w:jc w:val="both"/>
        <w:rPr>
          <w:sz w:val="28"/>
          <w:szCs w:val="28"/>
        </w:rPr>
      </w:pPr>
      <w:r>
        <w:rPr>
          <w:sz w:val="28"/>
          <w:szCs w:val="28"/>
        </w:rPr>
        <w:t xml:space="preserve">осуществляет анализ использования средств федерального бюджета, средств республиканского и местного бюджетов, привлеченных внебюджетных средств и разрабатывает предложения по повышению </w:t>
      </w:r>
      <w:r>
        <w:rPr>
          <w:sz w:val="28"/>
          <w:szCs w:val="28"/>
        </w:rPr>
        <w:lastRenderedPageBreak/>
        <w:t>эффективности использования финансовых ресурсов на реализацию Программы;</w:t>
      </w:r>
    </w:p>
    <w:p w:rsidR="00AB178C" w:rsidRDefault="00AB178C" w:rsidP="00AB178C">
      <w:pPr>
        <w:ind w:firstLine="708"/>
        <w:jc w:val="both"/>
        <w:rPr>
          <w:sz w:val="28"/>
          <w:szCs w:val="28"/>
        </w:rPr>
      </w:pPr>
      <w:r>
        <w:rPr>
          <w:sz w:val="28"/>
          <w:szCs w:val="28"/>
        </w:rPr>
        <w:t>обеспечивает координацию взаимодействия с органами государственной власти  Республики Адыгея в рамках соглашений, заключенных с ними о предоставлении субсидий за счет средств федерального и республиканского бюджетов на софинансирование мероприятий Программы.</w:t>
      </w:r>
    </w:p>
    <w:p w:rsidR="00AB178C" w:rsidRDefault="00AB178C" w:rsidP="00AB178C">
      <w:pPr>
        <w:ind w:firstLine="708"/>
        <w:jc w:val="both"/>
        <w:rPr>
          <w:sz w:val="28"/>
          <w:szCs w:val="28"/>
        </w:rPr>
      </w:pPr>
      <w:r>
        <w:rPr>
          <w:sz w:val="28"/>
          <w:szCs w:val="28"/>
        </w:rPr>
        <w:t>Муниципальный заказчик Программы в пределах своих полномочий:</w:t>
      </w:r>
    </w:p>
    <w:p w:rsidR="00AB178C" w:rsidRDefault="00AB178C" w:rsidP="00AB178C">
      <w:pPr>
        <w:ind w:firstLine="708"/>
        <w:jc w:val="both"/>
        <w:rPr>
          <w:sz w:val="28"/>
          <w:szCs w:val="28"/>
        </w:rPr>
      </w:pPr>
      <w:r>
        <w:rPr>
          <w:sz w:val="28"/>
          <w:szCs w:val="28"/>
        </w:rP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p>
    <w:p w:rsidR="00AB178C" w:rsidRDefault="00AB178C" w:rsidP="00AB178C">
      <w:pPr>
        <w:ind w:firstLine="708"/>
        <w:jc w:val="both"/>
        <w:rPr>
          <w:sz w:val="28"/>
          <w:szCs w:val="28"/>
        </w:rPr>
      </w:pPr>
      <w:r>
        <w:rPr>
          <w:sz w:val="28"/>
          <w:szCs w:val="28"/>
        </w:rPr>
        <w:t>разрабатывает нормативные правовые акты, необходимые для эффективной реализации мероприятий Программы;</w:t>
      </w:r>
    </w:p>
    <w:p w:rsidR="00AB178C" w:rsidRDefault="00AB178C" w:rsidP="00AB178C">
      <w:pPr>
        <w:ind w:firstLine="708"/>
        <w:jc w:val="both"/>
        <w:rPr>
          <w:sz w:val="28"/>
          <w:szCs w:val="28"/>
        </w:rPr>
      </w:pPr>
      <w:r>
        <w:rPr>
          <w:sz w:val="28"/>
          <w:szCs w:val="28"/>
        </w:rPr>
        <w:t>вносит предложения по уточнению затрат по мероприятиям Программы на очередной финансовый год и механизмов их  реализации;</w:t>
      </w:r>
    </w:p>
    <w:p w:rsidR="00AB178C" w:rsidRDefault="00AB178C" w:rsidP="00AB178C">
      <w:pPr>
        <w:ind w:firstLine="708"/>
        <w:jc w:val="both"/>
        <w:rPr>
          <w:sz w:val="28"/>
          <w:szCs w:val="28"/>
        </w:rPr>
      </w:pPr>
      <w:r>
        <w:rPr>
          <w:sz w:val="28"/>
          <w:szCs w:val="28"/>
        </w:rPr>
        <w:t>осуществляет ведение ежеквартальной (в предусмотренных случаях месячной) отчетности о реализации мероприятий Программы;</w:t>
      </w:r>
    </w:p>
    <w:p w:rsidR="00AB178C" w:rsidRPr="00E85CEA" w:rsidRDefault="00AB178C" w:rsidP="00AB178C">
      <w:pPr>
        <w:ind w:firstLine="708"/>
        <w:jc w:val="both"/>
        <w:rPr>
          <w:sz w:val="28"/>
          <w:szCs w:val="28"/>
        </w:rPr>
      </w:pPr>
      <w:r>
        <w:rPr>
          <w:sz w:val="28"/>
          <w:szCs w:val="28"/>
        </w:rPr>
        <w:t>осуществляет подготовку докладов о ходе реализации мероприятий Программы;</w:t>
      </w:r>
    </w:p>
    <w:p w:rsidR="00AB178C" w:rsidRPr="003A75AB" w:rsidRDefault="00AB178C" w:rsidP="00AB178C">
      <w:pPr>
        <w:ind w:firstLine="708"/>
        <w:jc w:val="both"/>
        <w:rPr>
          <w:sz w:val="28"/>
          <w:szCs w:val="28"/>
        </w:rPr>
      </w:pPr>
      <w:r>
        <w:rPr>
          <w:sz w:val="28"/>
          <w:szCs w:val="28"/>
        </w:rPr>
        <w:t>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r w:rsidRPr="003A75AB">
        <w:rPr>
          <w:sz w:val="28"/>
          <w:szCs w:val="28"/>
        </w:rPr>
        <w:t xml:space="preserve"> </w:t>
      </w:r>
    </w:p>
    <w:p w:rsidR="00AB178C" w:rsidRPr="001234BC" w:rsidRDefault="00AB178C" w:rsidP="00AB178C">
      <w:pPr>
        <w:autoSpaceDE w:val="0"/>
        <w:autoSpaceDN w:val="0"/>
        <w:adjustRightInd w:val="0"/>
        <w:ind w:firstLine="709"/>
        <w:jc w:val="both"/>
        <w:rPr>
          <w:sz w:val="28"/>
          <w:szCs w:val="28"/>
        </w:rPr>
      </w:pPr>
    </w:p>
    <w:p w:rsidR="00AB178C" w:rsidRPr="007C06D8" w:rsidRDefault="00AB178C" w:rsidP="00AB178C">
      <w:pPr>
        <w:ind w:left="851"/>
        <w:jc w:val="center"/>
        <w:rPr>
          <w:b/>
          <w:sz w:val="28"/>
          <w:szCs w:val="28"/>
        </w:rPr>
      </w:pPr>
      <w:r w:rsidRPr="007C06D8">
        <w:rPr>
          <w:b/>
          <w:sz w:val="28"/>
          <w:szCs w:val="28"/>
        </w:rPr>
        <w:t>5. Ресурсное обеспечение муниципальной программы</w:t>
      </w:r>
    </w:p>
    <w:p w:rsidR="00AB178C" w:rsidRDefault="00AB178C" w:rsidP="00AB178C">
      <w:pPr>
        <w:rPr>
          <w:sz w:val="28"/>
          <w:szCs w:val="28"/>
        </w:rPr>
      </w:pPr>
    </w:p>
    <w:p w:rsidR="00AB178C" w:rsidRDefault="00AB178C" w:rsidP="00AB178C">
      <w:pPr>
        <w:autoSpaceDE w:val="0"/>
        <w:autoSpaceDN w:val="0"/>
        <w:adjustRightInd w:val="0"/>
        <w:ind w:firstLine="540"/>
        <w:jc w:val="both"/>
        <w:rPr>
          <w:sz w:val="28"/>
          <w:szCs w:val="28"/>
        </w:rPr>
      </w:pPr>
      <w:r>
        <w:rPr>
          <w:sz w:val="28"/>
          <w:szCs w:val="28"/>
        </w:rPr>
        <w:t>Программа реализуется за счет средств федерального бюджета, республиканского бюджета, средств местного бюджета и внебюджетных источников.</w:t>
      </w:r>
    </w:p>
    <w:p w:rsidR="00AB178C" w:rsidRDefault="00AB178C" w:rsidP="00AB178C">
      <w:pPr>
        <w:autoSpaceDE w:val="0"/>
        <w:autoSpaceDN w:val="0"/>
        <w:adjustRightInd w:val="0"/>
        <w:ind w:firstLine="540"/>
        <w:jc w:val="both"/>
        <w:rPr>
          <w:sz w:val="28"/>
          <w:szCs w:val="28"/>
        </w:rPr>
      </w:pPr>
      <w:r>
        <w:rPr>
          <w:sz w:val="28"/>
          <w:szCs w:val="28"/>
        </w:rPr>
        <w:t xml:space="preserve">Общий объем финансирования Программы составляет </w:t>
      </w:r>
      <w:r w:rsidRPr="0025039F">
        <w:rPr>
          <w:sz w:val="28"/>
          <w:szCs w:val="28"/>
        </w:rPr>
        <w:t>51 740 120,00</w:t>
      </w:r>
      <w:r>
        <w:rPr>
          <w:sz w:val="28"/>
          <w:szCs w:val="28"/>
        </w:rPr>
        <w:t xml:space="preserve"> рублей в том числе:</w:t>
      </w:r>
    </w:p>
    <w:p w:rsidR="00AB178C" w:rsidRDefault="00AB178C" w:rsidP="00AB178C">
      <w:pPr>
        <w:autoSpaceDE w:val="0"/>
        <w:autoSpaceDN w:val="0"/>
        <w:adjustRightInd w:val="0"/>
        <w:ind w:firstLine="540"/>
        <w:jc w:val="both"/>
        <w:rPr>
          <w:sz w:val="28"/>
          <w:szCs w:val="28"/>
        </w:rPr>
      </w:pPr>
      <w:r>
        <w:rPr>
          <w:sz w:val="28"/>
          <w:szCs w:val="28"/>
        </w:rPr>
        <w:t xml:space="preserve">за счет средств местного бюджета- </w:t>
      </w:r>
      <w:r w:rsidRPr="0025039F">
        <w:rPr>
          <w:sz w:val="28"/>
          <w:szCs w:val="28"/>
        </w:rPr>
        <w:t xml:space="preserve">51 740 120,00 </w:t>
      </w:r>
      <w:r>
        <w:rPr>
          <w:sz w:val="28"/>
          <w:szCs w:val="28"/>
        </w:rPr>
        <w:t>рублей;</w:t>
      </w:r>
    </w:p>
    <w:p w:rsidR="00AB178C" w:rsidRDefault="00AB178C" w:rsidP="00AB178C">
      <w:pPr>
        <w:autoSpaceDE w:val="0"/>
        <w:autoSpaceDN w:val="0"/>
        <w:adjustRightInd w:val="0"/>
        <w:ind w:firstLine="540"/>
        <w:jc w:val="both"/>
        <w:rPr>
          <w:sz w:val="28"/>
          <w:szCs w:val="28"/>
        </w:rPr>
      </w:pPr>
      <w:r>
        <w:rPr>
          <w:sz w:val="28"/>
          <w:szCs w:val="28"/>
        </w:rPr>
        <w:t>Объемы финансирования Программы по источникам финансирования и периодам расходования средств приведены в приложении № 2 к Программе.</w:t>
      </w:r>
    </w:p>
    <w:p w:rsidR="00AB178C" w:rsidRDefault="00AB178C" w:rsidP="00AB178C">
      <w:pPr>
        <w:autoSpaceDE w:val="0"/>
        <w:autoSpaceDN w:val="0"/>
        <w:adjustRightInd w:val="0"/>
        <w:ind w:firstLine="709"/>
        <w:jc w:val="both"/>
        <w:rPr>
          <w:sz w:val="28"/>
          <w:szCs w:val="28"/>
        </w:rPr>
      </w:pPr>
      <w:r>
        <w:rPr>
          <w:sz w:val="28"/>
          <w:szCs w:val="28"/>
        </w:rPr>
        <w:t>В соответствии с условиями софинансирования, установленными порядками предоставления субсидий, определенными Концепцией федеральной целевой программы «Устойчивое развитие сельских территорий на 2014-2017 годы и на период до 2020 года» предусматривается привлечение средств бюджета МО «</w:t>
      </w:r>
      <w:r w:rsidRPr="00964360">
        <w:rPr>
          <w:sz w:val="28"/>
          <w:szCs w:val="28"/>
        </w:rPr>
        <w:t>Кошехабльский район</w:t>
      </w:r>
      <w:r>
        <w:rPr>
          <w:sz w:val="28"/>
          <w:szCs w:val="28"/>
        </w:rPr>
        <w:t>».</w:t>
      </w:r>
    </w:p>
    <w:p w:rsidR="00AB178C" w:rsidRPr="00176DEA" w:rsidRDefault="00AB178C" w:rsidP="00AB178C">
      <w:pPr>
        <w:autoSpaceDE w:val="0"/>
        <w:autoSpaceDN w:val="0"/>
        <w:adjustRightInd w:val="0"/>
        <w:ind w:firstLine="709"/>
        <w:jc w:val="both"/>
        <w:rPr>
          <w:sz w:val="28"/>
          <w:szCs w:val="28"/>
        </w:rPr>
      </w:pPr>
      <w:r w:rsidRPr="00176DEA">
        <w:rPr>
          <w:sz w:val="28"/>
          <w:szCs w:val="28"/>
        </w:rPr>
        <w:t xml:space="preserve">Прогнозируемые в рамках Программы объемы софинансирования за счет указанных средств определены на основе анализа прогнозных показателей, определенных отделами и управлениями администрации МО «Кошехабльский район». </w:t>
      </w:r>
    </w:p>
    <w:p w:rsidR="00AB178C" w:rsidRPr="00E85CEA" w:rsidRDefault="00AB178C" w:rsidP="00AB178C">
      <w:pPr>
        <w:ind w:firstLine="708"/>
        <w:jc w:val="both"/>
        <w:rPr>
          <w:sz w:val="28"/>
          <w:szCs w:val="28"/>
        </w:rPr>
      </w:pPr>
      <w:r>
        <w:rPr>
          <w:sz w:val="28"/>
          <w:szCs w:val="28"/>
        </w:rPr>
        <w:t xml:space="preserve"> </w:t>
      </w:r>
    </w:p>
    <w:p w:rsidR="00AB178C" w:rsidRPr="007C06D8" w:rsidRDefault="00AB178C" w:rsidP="00AB178C">
      <w:pPr>
        <w:ind w:left="851"/>
        <w:rPr>
          <w:b/>
          <w:sz w:val="28"/>
          <w:szCs w:val="28"/>
        </w:rPr>
      </w:pPr>
      <w:r w:rsidRPr="007C06D8">
        <w:rPr>
          <w:b/>
          <w:sz w:val="28"/>
          <w:szCs w:val="28"/>
        </w:rPr>
        <w:lastRenderedPageBreak/>
        <w:t>6. Анализ рисков реализации муниципальной программы и описание мер управления</w:t>
      </w:r>
      <w:r>
        <w:rPr>
          <w:b/>
          <w:sz w:val="28"/>
          <w:szCs w:val="28"/>
        </w:rPr>
        <w:t xml:space="preserve"> рисками</w:t>
      </w:r>
    </w:p>
    <w:p w:rsidR="00AB178C" w:rsidRDefault="00AB178C" w:rsidP="00AB178C">
      <w:pPr>
        <w:rPr>
          <w:sz w:val="28"/>
          <w:szCs w:val="28"/>
        </w:rPr>
      </w:pPr>
    </w:p>
    <w:p w:rsidR="00AB178C" w:rsidRDefault="00AB178C" w:rsidP="00AB178C">
      <w:pPr>
        <w:ind w:firstLine="851"/>
        <w:jc w:val="both"/>
        <w:rPr>
          <w:sz w:val="28"/>
          <w:szCs w:val="28"/>
        </w:rPr>
      </w:pPr>
      <w:r>
        <w:rPr>
          <w:sz w:val="28"/>
          <w:szCs w:val="28"/>
        </w:rPr>
        <w:t>К основным рискам реализации муниципальной программы относятся не предоставление субсидий за счет средств федерального и республиканского бюджетов на софинансирование мероприятий муниципальной программы, отсутствие проектно-сметной документации и положительного заключения государственной экспертизы.</w:t>
      </w:r>
    </w:p>
    <w:p w:rsidR="00AB178C" w:rsidRDefault="00AB178C" w:rsidP="00AB178C">
      <w:pPr>
        <w:ind w:firstLine="708"/>
        <w:jc w:val="both"/>
        <w:rPr>
          <w:sz w:val="28"/>
          <w:szCs w:val="28"/>
        </w:rPr>
      </w:pPr>
    </w:p>
    <w:p w:rsidR="00AB178C" w:rsidRPr="007C06D8" w:rsidRDefault="00AB178C" w:rsidP="00AB178C">
      <w:pPr>
        <w:ind w:left="851"/>
        <w:rPr>
          <w:b/>
          <w:sz w:val="28"/>
          <w:szCs w:val="28"/>
        </w:rPr>
      </w:pPr>
      <w:r w:rsidRPr="007C06D8">
        <w:rPr>
          <w:b/>
          <w:sz w:val="28"/>
          <w:szCs w:val="28"/>
        </w:rPr>
        <w:t>7.Методика оценки эффективности реализации муниципальной программы</w:t>
      </w:r>
    </w:p>
    <w:p w:rsidR="00AB178C" w:rsidRDefault="00AB178C" w:rsidP="00AB178C">
      <w:pPr>
        <w:ind w:firstLine="708"/>
        <w:jc w:val="both"/>
        <w:rPr>
          <w:sz w:val="28"/>
          <w:szCs w:val="28"/>
        </w:rPr>
      </w:pPr>
    </w:p>
    <w:p w:rsidR="00AB178C" w:rsidRDefault="00AB178C" w:rsidP="00AB178C">
      <w:pPr>
        <w:ind w:firstLine="840"/>
        <w:jc w:val="both"/>
        <w:rPr>
          <w:sz w:val="28"/>
          <w:szCs w:val="28"/>
        </w:rPr>
      </w:pPr>
      <w:r>
        <w:rPr>
          <w:sz w:val="28"/>
          <w:szCs w:val="28"/>
        </w:rPr>
        <w:t xml:space="preserve">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созданию новых рабочих мест. </w:t>
      </w:r>
    </w:p>
    <w:p w:rsidR="00AB178C" w:rsidRDefault="00AB178C" w:rsidP="00AB178C">
      <w:pPr>
        <w:ind w:firstLine="840"/>
        <w:jc w:val="both"/>
        <w:rPr>
          <w:sz w:val="28"/>
          <w:szCs w:val="28"/>
        </w:rPr>
      </w:pPr>
      <w:r>
        <w:rPr>
          <w:sz w:val="28"/>
          <w:szCs w:val="28"/>
        </w:rPr>
        <w:t>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AB178C" w:rsidRDefault="00AB178C" w:rsidP="00AB178C">
      <w:pPr>
        <w:autoSpaceDE w:val="0"/>
        <w:autoSpaceDN w:val="0"/>
        <w:adjustRightInd w:val="0"/>
        <w:ind w:firstLine="540"/>
        <w:jc w:val="both"/>
        <w:rPr>
          <w:sz w:val="28"/>
          <w:szCs w:val="28"/>
        </w:rPr>
      </w:pPr>
      <w:r>
        <w:rPr>
          <w:sz w:val="28"/>
          <w:szCs w:val="28"/>
        </w:rPr>
        <w:t>Эффективность реализации Программы оценивается на основе показателей, значения которых по годам реализации Программы приведены в таблице.</w:t>
      </w:r>
    </w:p>
    <w:p w:rsidR="00AB178C" w:rsidRPr="005F2839" w:rsidRDefault="00AB178C" w:rsidP="00AB178C">
      <w:pPr>
        <w:autoSpaceDE w:val="0"/>
        <w:autoSpaceDN w:val="0"/>
        <w:adjustRightInd w:val="0"/>
        <w:jc w:val="center"/>
        <w:rPr>
          <w:b/>
          <w:bCs/>
        </w:rPr>
      </w:pPr>
      <w:r w:rsidRPr="005F2839">
        <w:rPr>
          <w:b/>
          <w:bCs/>
        </w:rPr>
        <w:t>Показатели результат</w:t>
      </w:r>
      <w:r>
        <w:rPr>
          <w:b/>
          <w:bCs/>
        </w:rPr>
        <w:t>ивности исполнения мероприятий</w:t>
      </w:r>
    </w:p>
    <w:p w:rsidR="00AB178C" w:rsidRDefault="00AB178C" w:rsidP="00AB178C">
      <w:pPr>
        <w:autoSpaceDE w:val="0"/>
        <w:autoSpaceDN w:val="0"/>
        <w:adjustRightInd w:val="0"/>
        <w:rPr>
          <w:sz w:val="21"/>
          <w:szCs w:val="21"/>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992"/>
        <w:gridCol w:w="594"/>
        <w:gridCol w:w="1107"/>
        <w:gridCol w:w="1827"/>
      </w:tblGrid>
      <w:tr w:rsidR="00AB178C" w:rsidRPr="003768C3" w:rsidTr="001C63A7">
        <w:tc>
          <w:tcPr>
            <w:tcW w:w="2660" w:type="dxa"/>
            <w:vMerge w:val="restart"/>
            <w:shd w:val="clear" w:color="auto" w:fill="auto"/>
          </w:tcPr>
          <w:p w:rsidR="00AB178C" w:rsidRPr="003768C3" w:rsidRDefault="00AB178C" w:rsidP="001C63A7">
            <w:pPr>
              <w:autoSpaceDE w:val="0"/>
              <w:autoSpaceDN w:val="0"/>
              <w:adjustRightInd w:val="0"/>
              <w:rPr>
                <w:sz w:val="21"/>
                <w:szCs w:val="21"/>
              </w:rPr>
            </w:pPr>
            <w:r w:rsidRPr="003768C3">
              <w:rPr>
                <w:sz w:val="21"/>
                <w:szCs w:val="21"/>
              </w:rPr>
              <w:t>Наименование</w:t>
            </w:r>
          </w:p>
          <w:p w:rsidR="00AB178C" w:rsidRPr="003768C3" w:rsidRDefault="00AB178C" w:rsidP="001C63A7">
            <w:pPr>
              <w:autoSpaceDE w:val="0"/>
              <w:autoSpaceDN w:val="0"/>
              <w:adjustRightInd w:val="0"/>
              <w:rPr>
                <w:sz w:val="21"/>
                <w:szCs w:val="21"/>
              </w:rPr>
            </w:pPr>
            <w:r w:rsidRPr="003768C3">
              <w:rPr>
                <w:sz w:val="21"/>
                <w:szCs w:val="21"/>
              </w:rPr>
              <w:t>мероприятия (объекта капитального строительства, объекта недвижимого</w:t>
            </w:r>
          </w:p>
          <w:p w:rsidR="00AB178C" w:rsidRPr="003768C3" w:rsidRDefault="00AB178C" w:rsidP="001C63A7">
            <w:pPr>
              <w:autoSpaceDE w:val="0"/>
              <w:autoSpaceDN w:val="0"/>
              <w:adjustRightInd w:val="0"/>
              <w:rPr>
                <w:sz w:val="21"/>
                <w:szCs w:val="21"/>
              </w:rPr>
            </w:pPr>
            <w:r w:rsidRPr="003768C3">
              <w:rPr>
                <w:sz w:val="21"/>
                <w:szCs w:val="21"/>
              </w:rPr>
              <w:t>имущества)</w:t>
            </w:r>
          </w:p>
        </w:tc>
        <w:tc>
          <w:tcPr>
            <w:tcW w:w="2693" w:type="dxa"/>
            <w:vMerge w:val="restart"/>
            <w:shd w:val="clear" w:color="auto" w:fill="auto"/>
          </w:tcPr>
          <w:p w:rsidR="00AB178C" w:rsidRPr="003768C3" w:rsidRDefault="00AB178C" w:rsidP="001C63A7">
            <w:pPr>
              <w:autoSpaceDE w:val="0"/>
              <w:autoSpaceDN w:val="0"/>
              <w:adjustRightInd w:val="0"/>
              <w:rPr>
                <w:sz w:val="21"/>
                <w:szCs w:val="21"/>
              </w:rPr>
            </w:pPr>
            <w:r w:rsidRPr="003768C3">
              <w:rPr>
                <w:sz w:val="21"/>
                <w:szCs w:val="21"/>
              </w:rPr>
              <w:t>Наименование показателя результативности</w:t>
            </w:r>
          </w:p>
        </w:tc>
        <w:tc>
          <w:tcPr>
            <w:tcW w:w="1586" w:type="dxa"/>
            <w:gridSpan w:val="2"/>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Единица</w:t>
            </w:r>
          </w:p>
          <w:p w:rsidR="00AB178C" w:rsidRPr="003768C3" w:rsidRDefault="00AB178C" w:rsidP="001C63A7">
            <w:pPr>
              <w:autoSpaceDE w:val="0"/>
              <w:autoSpaceDN w:val="0"/>
              <w:adjustRightInd w:val="0"/>
              <w:jc w:val="center"/>
              <w:rPr>
                <w:sz w:val="21"/>
                <w:szCs w:val="21"/>
              </w:rPr>
            </w:pPr>
            <w:r w:rsidRPr="003768C3">
              <w:rPr>
                <w:sz w:val="21"/>
                <w:szCs w:val="21"/>
              </w:rPr>
              <w:t>измерения</w:t>
            </w:r>
          </w:p>
        </w:tc>
        <w:tc>
          <w:tcPr>
            <w:tcW w:w="1107" w:type="dxa"/>
            <w:vMerge w:val="restart"/>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Значение</w:t>
            </w:r>
          </w:p>
          <w:p w:rsidR="00AB178C" w:rsidRPr="003768C3" w:rsidRDefault="00AB178C" w:rsidP="001C63A7">
            <w:pPr>
              <w:autoSpaceDE w:val="0"/>
              <w:autoSpaceDN w:val="0"/>
              <w:adjustRightInd w:val="0"/>
              <w:jc w:val="center"/>
              <w:rPr>
                <w:sz w:val="21"/>
                <w:szCs w:val="21"/>
              </w:rPr>
            </w:pPr>
            <w:r w:rsidRPr="003768C3">
              <w:rPr>
                <w:sz w:val="21"/>
                <w:szCs w:val="21"/>
              </w:rPr>
              <w:t>показателя</w:t>
            </w:r>
          </w:p>
          <w:p w:rsidR="00AB178C" w:rsidRPr="003768C3" w:rsidRDefault="00AB178C" w:rsidP="001C63A7">
            <w:pPr>
              <w:autoSpaceDE w:val="0"/>
              <w:autoSpaceDN w:val="0"/>
              <w:adjustRightInd w:val="0"/>
              <w:jc w:val="center"/>
              <w:rPr>
                <w:sz w:val="21"/>
                <w:szCs w:val="21"/>
              </w:rPr>
            </w:pPr>
            <w:r w:rsidRPr="003768C3">
              <w:rPr>
                <w:sz w:val="21"/>
                <w:szCs w:val="21"/>
              </w:rPr>
              <w:t>результативности</w:t>
            </w:r>
          </w:p>
          <w:p w:rsidR="00AB178C" w:rsidRPr="003768C3" w:rsidRDefault="00AB178C" w:rsidP="001C63A7">
            <w:pPr>
              <w:autoSpaceDE w:val="0"/>
              <w:autoSpaceDN w:val="0"/>
              <w:adjustRightInd w:val="0"/>
              <w:jc w:val="center"/>
              <w:rPr>
                <w:sz w:val="21"/>
                <w:szCs w:val="21"/>
              </w:rPr>
            </w:pPr>
          </w:p>
        </w:tc>
        <w:tc>
          <w:tcPr>
            <w:tcW w:w="1827" w:type="dxa"/>
            <w:vMerge w:val="restart"/>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Год, на который</w:t>
            </w:r>
          </w:p>
          <w:p w:rsidR="00AB178C" w:rsidRPr="003768C3" w:rsidRDefault="00AB178C" w:rsidP="001C63A7">
            <w:pPr>
              <w:autoSpaceDE w:val="0"/>
              <w:autoSpaceDN w:val="0"/>
              <w:adjustRightInd w:val="0"/>
              <w:jc w:val="center"/>
              <w:rPr>
                <w:sz w:val="21"/>
                <w:szCs w:val="21"/>
              </w:rPr>
            </w:pPr>
            <w:r w:rsidRPr="003768C3">
              <w:rPr>
                <w:sz w:val="21"/>
                <w:szCs w:val="21"/>
              </w:rPr>
              <w:t>запланировано</w:t>
            </w:r>
          </w:p>
          <w:p w:rsidR="00AB178C" w:rsidRPr="003768C3" w:rsidRDefault="00AB178C" w:rsidP="001C63A7">
            <w:pPr>
              <w:autoSpaceDE w:val="0"/>
              <w:autoSpaceDN w:val="0"/>
              <w:adjustRightInd w:val="0"/>
              <w:jc w:val="center"/>
              <w:rPr>
                <w:sz w:val="21"/>
                <w:szCs w:val="21"/>
              </w:rPr>
            </w:pPr>
            <w:r w:rsidRPr="003768C3">
              <w:rPr>
                <w:sz w:val="21"/>
                <w:szCs w:val="21"/>
              </w:rPr>
              <w:t>достижение значения</w:t>
            </w:r>
          </w:p>
          <w:p w:rsidR="00AB178C" w:rsidRPr="003768C3" w:rsidRDefault="00AB178C" w:rsidP="001C63A7">
            <w:pPr>
              <w:autoSpaceDE w:val="0"/>
              <w:autoSpaceDN w:val="0"/>
              <w:adjustRightInd w:val="0"/>
              <w:jc w:val="center"/>
              <w:rPr>
                <w:sz w:val="21"/>
                <w:szCs w:val="21"/>
              </w:rPr>
            </w:pPr>
            <w:r w:rsidRPr="003768C3">
              <w:rPr>
                <w:sz w:val="21"/>
                <w:szCs w:val="21"/>
              </w:rPr>
              <w:t>показателя</w:t>
            </w:r>
          </w:p>
          <w:p w:rsidR="00AB178C" w:rsidRPr="003768C3" w:rsidRDefault="00AB178C" w:rsidP="001C63A7">
            <w:pPr>
              <w:autoSpaceDE w:val="0"/>
              <w:autoSpaceDN w:val="0"/>
              <w:adjustRightInd w:val="0"/>
              <w:jc w:val="center"/>
              <w:rPr>
                <w:sz w:val="21"/>
                <w:szCs w:val="21"/>
              </w:rPr>
            </w:pPr>
            <w:r w:rsidRPr="003768C3">
              <w:rPr>
                <w:sz w:val="21"/>
                <w:szCs w:val="21"/>
              </w:rPr>
              <w:t>результативности</w:t>
            </w:r>
          </w:p>
        </w:tc>
      </w:tr>
      <w:tr w:rsidR="00AB178C" w:rsidRPr="003768C3" w:rsidTr="001C63A7">
        <w:tc>
          <w:tcPr>
            <w:tcW w:w="2660" w:type="dxa"/>
            <w:vMerge/>
            <w:shd w:val="clear" w:color="auto" w:fill="auto"/>
          </w:tcPr>
          <w:p w:rsidR="00AB178C" w:rsidRPr="003768C3" w:rsidRDefault="00AB178C" w:rsidP="001C63A7">
            <w:pPr>
              <w:autoSpaceDE w:val="0"/>
              <w:autoSpaceDN w:val="0"/>
              <w:adjustRightInd w:val="0"/>
              <w:rPr>
                <w:sz w:val="21"/>
                <w:szCs w:val="21"/>
              </w:rPr>
            </w:pPr>
          </w:p>
        </w:tc>
        <w:tc>
          <w:tcPr>
            <w:tcW w:w="2693" w:type="dxa"/>
            <w:vMerge/>
            <w:shd w:val="clear" w:color="auto" w:fill="auto"/>
          </w:tcPr>
          <w:p w:rsidR="00AB178C" w:rsidRPr="003768C3" w:rsidRDefault="00AB178C" w:rsidP="001C63A7">
            <w:pPr>
              <w:autoSpaceDE w:val="0"/>
              <w:autoSpaceDN w:val="0"/>
              <w:adjustRightInd w:val="0"/>
              <w:rPr>
                <w:sz w:val="21"/>
                <w:szCs w:val="21"/>
              </w:rPr>
            </w:pPr>
          </w:p>
        </w:tc>
        <w:tc>
          <w:tcPr>
            <w:tcW w:w="992"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наименование</w:t>
            </w:r>
          </w:p>
        </w:tc>
        <w:tc>
          <w:tcPr>
            <w:tcW w:w="594"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код</w:t>
            </w:r>
          </w:p>
          <w:p w:rsidR="00AB178C" w:rsidRPr="003768C3" w:rsidRDefault="00AB178C" w:rsidP="001C63A7">
            <w:pPr>
              <w:autoSpaceDE w:val="0"/>
              <w:autoSpaceDN w:val="0"/>
              <w:adjustRightInd w:val="0"/>
              <w:jc w:val="center"/>
              <w:rPr>
                <w:sz w:val="21"/>
                <w:szCs w:val="21"/>
              </w:rPr>
            </w:pPr>
          </w:p>
        </w:tc>
        <w:tc>
          <w:tcPr>
            <w:tcW w:w="1107" w:type="dxa"/>
            <w:vMerge/>
            <w:shd w:val="clear" w:color="auto" w:fill="auto"/>
          </w:tcPr>
          <w:p w:rsidR="00AB178C" w:rsidRPr="003768C3" w:rsidRDefault="00AB178C" w:rsidP="001C63A7">
            <w:pPr>
              <w:autoSpaceDE w:val="0"/>
              <w:autoSpaceDN w:val="0"/>
              <w:adjustRightInd w:val="0"/>
              <w:jc w:val="center"/>
              <w:rPr>
                <w:sz w:val="21"/>
                <w:szCs w:val="21"/>
              </w:rPr>
            </w:pPr>
          </w:p>
        </w:tc>
        <w:tc>
          <w:tcPr>
            <w:tcW w:w="1827" w:type="dxa"/>
            <w:vMerge/>
            <w:shd w:val="clear" w:color="auto" w:fill="auto"/>
          </w:tcPr>
          <w:p w:rsidR="00AB178C" w:rsidRPr="003768C3" w:rsidRDefault="00AB178C" w:rsidP="001C63A7">
            <w:pPr>
              <w:autoSpaceDE w:val="0"/>
              <w:autoSpaceDN w:val="0"/>
              <w:adjustRightInd w:val="0"/>
              <w:jc w:val="center"/>
              <w:rPr>
                <w:sz w:val="21"/>
                <w:szCs w:val="21"/>
              </w:rPr>
            </w:pPr>
          </w:p>
        </w:tc>
      </w:tr>
      <w:tr w:rsidR="00AB178C" w:rsidRPr="003768C3" w:rsidTr="001C63A7">
        <w:tc>
          <w:tcPr>
            <w:tcW w:w="2660"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1</w:t>
            </w:r>
          </w:p>
        </w:tc>
        <w:tc>
          <w:tcPr>
            <w:tcW w:w="2693"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2</w:t>
            </w:r>
          </w:p>
        </w:tc>
        <w:tc>
          <w:tcPr>
            <w:tcW w:w="992"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3</w:t>
            </w:r>
          </w:p>
        </w:tc>
        <w:tc>
          <w:tcPr>
            <w:tcW w:w="594"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4</w:t>
            </w:r>
          </w:p>
        </w:tc>
        <w:tc>
          <w:tcPr>
            <w:tcW w:w="110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5</w:t>
            </w:r>
          </w:p>
        </w:tc>
        <w:tc>
          <w:tcPr>
            <w:tcW w:w="182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6</w:t>
            </w:r>
          </w:p>
        </w:tc>
      </w:tr>
      <w:tr w:rsidR="00AB178C" w:rsidRPr="003768C3" w:rsidTr="001C63A7">
        <w:tc>
          <w:tcPr>
            <w:tcW w:w="2660"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Дом культуры в ауле Ходзь МО "Кошехабльский район" Республики Адыгея</w:t>
            </w:r>
          </w:p>
        </w:tc>
        <w:tc>
          <w:tcPr>
            <w:tcW w:w="2693"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Уровень технической</w:t>
            </w:r>
          </w:p>
          <w:p w:rsidR="00AB178C" w:rsidRPr="003768C3" w:rsidRDefault="00AB178C" w:rsidP="001C63A7">
            <w:pPr>
              <w:autoSpaceDE w:val="0"/>
              <w:autoSpaceDN w:val="0"/>
              <w:adjustRightInd w:val="0"/>
              <w:rPr>
                <w:sz w:val="21"/>
                <w:szCs w:val="21"/>
              </w:rPr>
            </w:pPr>
            <w:r w:rsidRPr="003768C3">
              <w:rPr>
                <w:sz w:val="21"/>
                <w:szCs w:val="21"/>
              </w:rPr>
              <w:t>готовности объектов</w:t>
            </w:r>
          </w:p>
          <w:p w:rsidR="00AB178C" w:rsidRPr="003768C3" w:rsidRDefault="00AB178C" w:rsidP="001C63A7">
            <w:pPr>
              <w:autoSpaceDE w:val="0"/>
              <w:autoSpaceDN w:val="0"/>
              <w:adjustRightInd w:val="0"/>
              <w:rPr>
                <w:sz w:val="21"/>
                <w:szCs w:val="21"/>
              </w:rPr>
            </w:pPr>
            <w:r w:rsidRPr="003768C3">
              <w:rPr>
                <w:sz w:val="21"/>
                <w:szCs w:val="21"/>
              </w:rPr>
              <w:t>капитального строительства</w:t>
            </w:r>
          </w:p>
        </w:tc>
        <w:tc>
          <w:tcPr>
            <w:tcW w:w="992"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Процент</w:t>
            </w:r>
          </w:p>
        </w:tc>
        <w:tc>
          <w:tcPr>
            <w:tcW w:w="594"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744</w:t>
            </w:r>
          </w:p>
        </w:tc>
        <w:tc>
          <w:tcPr>
            <w:tcW w:w="110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26</w:t>
            </w:r>
          </w:p>
        </w:tc>
        <w:tc>
          <w:tcPr>
            <w:tcW w:w="182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2018</w:t>
            </w:r>
          </w:p>
        </w:tc>
      </w:tr>
      <w:tr w:rsidR="00AB178C" w:rsidRPr="003768C3" w:rsidTr="001C63A7">
        <w:tc>
          <w:tcPr>
            <w:tcW w:w="2660"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Дом культуры в ауле Ходзь МО "Кошехабльский район" Республики Адыгея</w:t>
            </w:r>
          </w:p>
        </w:tc>
        <w:tc>
          <w:tcPr>
            <w:tcW w:w="2693"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Уровень технической</w:t>
            </w:r>
          </w:p>
          <w:p w:rsidR="00AB178C" w:rsidRPr="003768C3" w:rsidRDefault="00AB178C" w:rsidP="001C63A7">
            <w:pPr>
              <w:autoSpaceDE w:val="0"/>
              <w:autoSpaceDN w:val="0"/>
              <w:adjustRightInd w:val="0"/>
              <w:rPr>
                <w:sz w:val="21"/>
                <w:szCs w:val="21"/>
              </w:rPr>
            </w:pPr>
            <w:r w:rsidRPr="003768C3">
              <w:rPr>
                <w:sz w:val="21"/>
                <w:szCs w:val="21"/>
              </w:rPr>
              <w:t>готовности объектов</w:t>
            </w:r>
          </w:p>
          <w:p w:rsidR="00AB178C" w:rsidRPr="003768C3" w:rsidRDefault="00AB178C" w:rsidP="001C63A7">
            <w:pPr>
              <w:autoSpaceDE w:val="0"/>
              <w:autoSpaceDN w:val="0"/>
              <w:adjustRightInd w:val="0"/>
              <w:rPr>
                <w:sz w:val="21"/>
                <w:szCs w:val="21"/>
              </w:rPr>
            </w:pPr>
            <w:r w:rsidRPr="003768C3">
              <w:rPr>
                <w:sz w:val="21"/>
                <w:szCs w:val="21"/>
              </w:rPr>
              <w:t>капитального строительства</w:t>
            </w:r>
          </w:p>
        </w:tc>
        <w:tc>
          <w:tcPr>
            <w:tcW w:w="992"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Процент</w:t>
            </w:r>
          </w:p>
        </w:tc>
        <w:tc>
          <w:tcPr>
            <w:tcW w:w="594"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744</w:t>
            </w:r>
          </w:p>
        </w:tc>
        <w:tc>
          <w:tcPr>
            <w:tcW w:w="110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55</w:t>
            </w:r>
          </w:p>
        </w:tc>
        <w:tc>
          <w:tcPr>
            <w:tcW w:w="182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2019</w:t>
            </w:r>
          </w:p>
        </w:tc>
      </w:tr>
      <w:tr w:rsidR="00AB178C" w:rsidRPr="003768C3" w:rsidTr="001C63A7">
        <w:tc>
          <w:tcPr>
            <w:tcW w:w="2660"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Дом культуры в ауле Ходзь МО "Кошехабльский район" Республики Адыгея</w:t>
            </w:r>
          </w:p>
        </w:tc>
        <w:tc>
          <w:tcPr>
            <w:tcW w:w="2693"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Ввод в действие учреждений</w:t>
            </w:r>
          </w:p>
          <w:p w:rsidR="00AB178C" w:rsidRPr="003768C3" w:rsidRDefault="00AB178C" w:rsidP="001C63A7">
            <w:pPr>
              <w:autoSpaceDE w:val="0"/>
              <w:autoSpaceDN w:val="0"/>
              <w:adjustRightInd w:val="0"/>
              <w:rPr>
                <w:sz w:val="21"/>
                <w:szCs w:val="21"/>
              </w:rPr>
            </w:pPr>
            <w:r w:rsidRPr="003768C3">
              <w:rPr>
                <w:sz w:val="21"/>
                <w:szCs w:val="21"/>
              </w:rPr>
              <w:t>культурно-досугового типа</w:t>
            </w:r>
          </w:p>
        </w:tc>
        <w:tc>
          <w:tcPr>
            <w:tcW w:w="992"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Место</w:t>
            </w:r>
          </w:p>
        </w:tc>
        <w:tc>
          <w:tcPr>
            <w:tcW w:w="594" w:type="dxa"/>
            <w:shd w:val="clear" w:color="auto" w:fill="auto"/>
          </w:tcPr>
          <w:p w:rsidR="00AB178C" w:rsidRPr="003768C3" w:rsidRDefault="00AB178C" w:rsidP="001C63A7">
            <w:pPr>
              <w:autoSpaceDE w:val="0"/>
              <w:autoSpaceDN w:val="0"/>
              <w:adjustRightInd w:val="0"/>
              <w:rPr>
                <w:sz w:val="21"/>
                <w:szCs w:val="21"/>
              </w:rPr>
            </w:pPr>
            <w:r w:rsidRPr="003768C3">
              <w:rPr>
                <w:sz w:val="21"/>
                <w:szCs w:val="21"/>
              </w:rPr>
              <w:t>698</w:t>
            </w:r>
          </w:p>
        </w:tc>
        <w:tc>
          <w:tcPr>
            <w:tcW w:w="1107" w:type="dxa"/>
            <w:shd w:val="clear" w:color="auto" w:fill="auto"/>
          </w:tcPr>
          <w:p w:rsidR="00AB178C" w:rsidRPr="003768C3" w:rsidRDefault="00AB178C" w:rsidP="001C63A7">
            <w:pPr>
              <w:autoSpaceDE w:val="0"/>
              <w:autoSpaceDN w:val="0"/>
              <w:adjustRightInd w:val="0"/>
              <w:jc w:val="center"/>
              <w:rPr>
                <w:sz w:val="21"/>
                <w:szCs w:val="21"/>
              </w:rPr>
            </w:pPr>
            <w:r w:rsidRPr="003768C3">
              <w:rPr>
                <w:sz w:val="21"/>
                <w:szCs w:val="21"/>
              </w:rPr>
              <w:t>300</w:t>
            </w:r>
          </w:p>
        </w:tc>
        <w:tc>
          <w:tcPr>
            <w:tcW w:w="1827" w:type="dxa"/>
            <w:shd w:val="clear" w:color="auto" w:fill="auto"/>
          </w:tcPr>
          <w:p w:rsidR="00AB178C" w:rsidRPr="003768C3" w:rsidRDefault="00AB178C" w:rsidP="001C63A7">
            <w:pPr>
              <w:jc w:val="center"/>
              <w:rPr>
                <w:sz w:val="21"/>
                <w:szCs w:val="21"/>
              </w:rPr>
            </w:pPr>
            <w:r w:rsidRPr="003768C3">
              <w:rPr>
                <w:sz w:val="21"/>
                <w:szCs w:val="21"/>
              </w:rPr>
              <w:t>2020</w:t>
            </w:r>
          </w:p>
        </w:tc>
      </w:tr>
    </w:tbl>
    <w:p w:rsidR="00AB178C" w:rsidRDefault="00AB178C" w:rsidP="00AB178C">
      <w:pPr>
        <w:autoSpaceDE w:val="0"/>
        <w:autoSpaceDN w:val="0"/>
        <w:adjustRightInd w:val="0"/>
      </w:pPr>
    </w:p>
    <w:p w:rsidR="00AB178C" w:rsidRPr="0090205A" w:rsidRDefault="00AB178C" w:rsidP="0090205A">
      <w:pPr>
        <w:ind w:left="426"/>
        <w:jc w:val="center"/>
        <w:rPr>
          <w:bCs/>
        </w:rPr>
      </w:pPr>
      <w:bookmarkStart w:id="0" w:name="_GoBack"/>
      <w:bookmarkEnd w:id="0"/>
    </w:p>
    <w:sectPr w:rsidR="00AB178C" w:rsidRPr="00902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3D"/>
    <w:rsid w:val="004B123D"/>
    <w:rsid w:val="00637AED"/>
    <w:rsid w:val="00866957"/>
    <w:rsid w:val="0090205A"/>
    <w:rsid w:val="00AB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67"/>
    <w:qFormat/>
    <w:rsid w:val="0090205A"/>
    <w:pPr>
      <w:keepNext/>
      <w:widowControl w:val="0"/>
      <w:numPr>
        <w:numId w:val="1"/>
      </w:numPr>
      <w:tabs>
        <w:tab w:val="left" w:pos="432"/>
      </w:tabs>
      <w:suppressAutoHyphens/>
      <w:jc w:val="center"/>
      <w:outlineLvl w:val="0"/>
    </w:pPr>
    <w:rPr>
      <w:rFonts w:eastAsia="Andale Sans UI"/>
      <w:b/>
      <w:bCs/>
      <w:kern w:val="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0205A"/>
    <w:pPr>
      <w:spacing w:before="100" w:beforeAutospacing="1" w:after="100" w:afterAutospacing="1"/>
    </w:pPr>
  </w:style>
  <w:style w:type="paragraph" w:styleId="a5">
    <w:name w:val="List Paragraph"/>
    <w:basedOn w:val="a"/>
    <w:qFormat/>
    <w:rsid w:val="0090205A"/>
    <w:pPr>
      <w:ind w:left="720" w:firstLine="709"/>
      <w:contextualSpacing/>
      <w:jc w:val="both"/>
    </w:pPr>
    <w:rPr>
      <w:sz w:val="28"/>
      <w:szCs w:val="22"/>
      <w:lang w:eastAsia="en-US"/>
    </w:rPr>
  </w:style>
  <w:style w:type="character" w:customStyle="1" w:styleId="10">
    <w:name w:val="Заголовок 1 Знак"/>
    <w:basedOn w:val="a1"/>
    <w:link w:val="1"/>
    <w:uiPriority w:val="67"/>
    <w:rsid w:val="0090205A"/>
    <w:rPr>
      <w:rFonts w:ascii="Times New Roman" w:eastAsia="Andale Sans UI" w:hAnsi="Times New Roman" w:cs="Times New Roman"/>
      <w:b/>
      <w:bCs/>
      <w:kern w:val="1"/>
      <w:sz w:val="20"/>
      <w:szCs w:val="24"/>
      <w:lang w:eastAsia="ru-RU"/>
    </w:rPr>
  </w:style>
  <w:style w:type="paragraph" w:styleId="a0">
    <w:name w:val="Body Text"/>
    <w:basedOn w:val="a"/>
    <w:link w:val="a6"/>
    <w:uiPriority w:val="99"/>
    <w:semiHidden/>
    <w:unhideWhenUsed/>
    <w:rsid w:val="0090205A"/>
    <w:pPr>
      <w:spacing w:after="120"/>
    </w:pPr>
  </w:style>
  <w:style w:type="character" w:customStyle="1" w:styleId="a6">
    <w:name w:val="Основной текст Знак"/>
    <w:basedOn w:val="a1"/>
    <w:link w:val="a0"/>
    <w:uiPriority w:val="99"/>
    <w:semiHidden/>
    <w:rsid w:val="0090205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0205A"/>
    <w:rPr>
      <w:rFonts w:ascii="Tahoma" w:hAnsi="Tahoma" w:cs="Tahoma"/>
      <w:sz w:val="16"/>
      <w:szCs w:val="16"/>
    </w:rPr>
  </w:style>
  <w:style w:type="character" w:customStyle="1" w:styleId="a8">
    <w:name w:val="Текст выноски Знак"/>
    <w:basedOn w:val="a1"/>
    <w:link w:val="a7"/>
    <w:uiPriority w:val="99"/>
    <w:semiHidden/>
    <w:rsid w:val="0090205A"/>
    <w:rPr>
      <w:rFonts w:ascii="Tahoma" w:eastAsia="Times New Roman" w:hAnsi="Tahoma" w:cs="Tahoma"/>
      <w:sz w:val="16"/>
      <w:szCs w:val="16"/>
      <w:lang w:eastAsia="ru-RU"/>
    </w:rPr>
  </w:style>
  <w:style w:type="paragraph" w:customStyle="1" w:styleId="ConsPlusCell">
    <w:name w:val="ConsPlusCell"/>
    <w:rsid w:val="00AB178C"/>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67"/>
    <w:qFormat/>
    <w:rsid w:val="0090205A"/>
    <w:pPr>
      <w:keepNext/>
      <w:widowControl w:val="0"/>
      <w:numPr>
        <w:numId w:val="1"/>
      </w:numPr>
      <w:tabs>
        <w:tab w:val="left" w:pos="432"/>
      </w:tabs>
      <w:suppressAutoHyphens/>
      <w:jc w:val="center"/>
      <w:outlineLvl w:val="0"/>
    </w:pPr>
    <w:rPr>
      <w:rFonts w:eastAsia="Andale Sans UI"/>
      <w:b/>
      <w:bCs/>
      <w:kern w:val="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0205A"/>
    <w:pPr>
      <w:spacing w:before="100" w:beforeAutospacing="1" w:after="100" w:afterAutospacing="1"/>
    </w:pPr>
  </w:style>
  <w:style w:type="paragraph" w:styleId="a5">
    <w:name w:val="List Paragraph"/>
    <w:basedOn w:val="a"/>
    <w:qFormat/>
    <w:rsid w:val="0090205A"/>
    <w:pPr>
      <w:ind w:left="720" w:firstLine="709"/>
      <w:contextualSpacing/>
      <w:jc w:val="both"/>
    </w:pPr>
    <w:rPr>
      <w:sz w:val="28"/>
      <w:szCs w:val="22"/>
      <w:lang w:eastAsia="en-US"/>
    </w:rPr>
  </w:style>
  <w:style w:type="character" w:customStyle="1" w:styleId="10">
    <w:name w:val="Заголовок 1 Знак"/>
    <w:basedOn w:val="a1"/>
    <w:link w:val="1"/>
    <w:uiPriority w:val="67"/>
    <w:rsid w:val="0090205A"/>
    <w:rPr>
      <w:rFonts w:ascii="Times New Roman" w:eastAsia="Andale Sans UI" w:hAnsi="Times New Roman" w:cs="Times New Roman"/>
      <w:b/>
      <w:bCs/>
      <w:kern w:val="1"/>
      <w:sz w:val="20"/>
      <w:szCs w:val="24"/>
      <w:lang w:eastAsia="ru-RU"/>
    </w:rPr>
  </w:style>
  <w:style w:type="paragraph" w:styleId="a0">
    <w:name w:val="Body Text"/>
    <w:basedOn w:val="a"/>
    <w:link w:val="a6"/>
    <w:uiPriority w:val="99"/>
    <w:semiHidden/>
    <w:unhideWhenUsed/>
    <w:rsid w:val="0090205A"/>
    <w:pPr>
      <w:spacing w:after="120"/>
    </w:pPr>
  </w:style>
  <w:style w:type="character" w:customStyle="1" w:styleId="a6">
    <w:name w:val="Основной текст Знак"/>
    <w:basedOn w:val="a1"/>
    <w:link w:val="a0"/>
    <w:uiPriority w:val="99"/>
    <w:semiHidden/>
    <w:rsid w:val="0090205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0205A"/>
    <w:rPr>
      <w:rFonts w:ascii="Tahoma" w:hAnsi="Tahoma" w:cs="Tahoma"/>
      <w:sz w:val="16"/>
      <w:szCs w:val="16"/>
    </w:rPr>
  </w:style>
  <w:style w:type="character" w:customStyle="1" w:styleId="a8">
    <w:name w:val="Текст выноски Знак"/>
    <w:basedOn w:val="a1"/>
    <w:link w:val="a7"/>
    <w:uiPriority w:val="99"/>
    <w:semiHidden/>
    <w:rsid w:val="0090205A"/>
    <w:rPr>
      <w:rFonts w:ascii="Tahoma" w:eastAsia="Times New Roman" w:hAnsi="Tahoma" w:cs="Tahoma"/>
      <w:sz w:val="16"/>
      <w:szCs w:val="16"/>
      <w:lang w:eastAsia="ru-RU"/>
    </w:rPr>
  </w:style>
  <w:style w:type="paragraph" w:customStyle="1" w:styleId="ConsPlusCell">
    <w:name w:val="ConsPlusCell"/>
    <w:rsid w:val="00AB178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3</cp:revision>
  <cp:lastPrinted>2018-03-26T14:12:00Z</cp:lastPrinted>
  <dcterms:created xsi:type="dcterms:W3CDTF">2018-03-26T14:01:00Z</dcterms:created>
  <dcterms:modified xsi:type="dcterms:W3CDTF">2018-03-28T13:03:00Z</dcterms:modified>
</cp:coreProperties>
</file>