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9A318A" w:rsidTr="00DF2BA8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318A" w:rsidRDefault="009A318A" w:rsidP="00DF2BA8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9A318A" w:rsidRDefault="009A318A" w:rsidP="00DF2BA8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9A318A" w:rsidRDefault="009A318A" w:rsidP="00DF2BA8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9A318A" w:rsidRDefault="009A318A" w:rsidP="00DF2BA8">
            <w:pPr>
              <w:pStyle w:val="1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9A318A" w:rsidRDefault="009A318A" w:rsidP="00DF2BA8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318A" w:rsidRDefault="009A318A" w:rsidP="00DF2BA8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AFA4B0E" wp14:editId="2F1E244A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318A" w:rsidRDefault="009A318A" w:rsidP="009A318A">
            <w:pPr>
              <w:pStyle w:val="11"/>
              <w:ind w:right="268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9A318A" w:rsidRDefault="009A318A" w:rsidP="009A318A">
            <w:pPr>
              <w:pStyle w:val="11"/>
              <w:ind w:right="268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9A318A" w:rsidRDefault="009A318A" w:rsidP="009A318A">
            <w:pPr>
              <w:pStyle w:val="11"/>
              <w:ind w:right="268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9A318A" w:rsidRDefault="009A318A" w:rsidP="009A318A">
            <w:pPr>
              <w:pStyle w:val="11"/>
              <w:ind w:right="268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A318A" w:rsidRDefault="009A318A" w:rsidP="009A318A">
            <w:pPr>
              <w:pStyle w:val="11"/>
              <w:ind w:right="26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9A318A" w:rsidRPr="00F94A6E" w:rsidRDefault="009A318A" w:rsidP="009A318A">
      <w:pPr>
        <w:pStyle w:val="a7"/>
        <w:rPr>
          <w:rFonts w:ascii="Times New Roman" w:hAnsi="Times New Roman"/>
          <w:b/>
          <w:sz w:val="18"/>
          <w:szCs w:val="18"/>
        </w:rPr>
      </w:pPr>
      <w:r w:rsidRPr="00F94A6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</w:t>
      </w:r>
      <w:r w:rsidRPr="00F94A6E">
        <w:rPr>
          <w:sz w:val="18"/>
          <w:szCs w:val="18"/>
        </w:rPr>
        <w:t xml:space="preserve">  </w:t>
      </w:r>
      <w:r w:rsidRPr="00F94A6E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 район, </w:t>
      </w:r>
    </w:p>
    <w:p w:rsidR="009A318A" w:rsidRPr="00F94A6E" w:rsidRDefault="009A318A" w:rsidP="009A318A">
      <w:pPr>
        <w:pStyle w:val="a7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Республика Адыгея</w:t>
      </w:r>
    </w:p>
    <w:p w:rsidR="009A318A" w:rsidRPr="00F94A6E" w:rsidRDefault="009A318A" w:rsidP="009A318A">
      <w:pPr>
        <w:pStyle w:val="a7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F94A6E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F94A6E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>: 8(87770) 9-67-40</w:t>
      </w:r>
    </w:p>
    <w:p w:rsidR="009A318A" w:rsidRPr="00113DC3" w:rsidRDefault="009A318A" w:rsidP="009A318A">
      <w:pPr>
        <w:pStyle w:val="a7"/>
        <w:rPr>
          <w:rFonts w:ascii="Times New Roman" w:hAnsi="Times New Roman"/>
          <w:b/>
          <w:sz w:val="18"/>
          <w:szCs w:val="18"/>
        </w:rPr>
      </w:pPr>
      <w:r w:rsidRPr="00113DC3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13DC3">
        <w:rPr>
          <w:rFonts w:ascii="Times New Roman" w:hAnsi="Times New Roman"/>
          <w:b/>
          <w:sz w:val="18"/>
          <w:szCs w:val="18"/>
        </w:rPr>
        <w:t>-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@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; </w:t>
      </w:r>
      <w:r w:rsidRPr="00F94A6E">
        <w:rPr>
          <w:rFonts w:ascii="Times New Roman" w:hAnsi="Times New Roman"/>
          <w:b/>
          <w:sz w:val="18"/>
          <w:szCs w:val="18"/>
        </w:rPr>
        <w:t>сайт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   </w:t>
      </w:r>
      <w:bookmarkStart w:id="0" w:name="_GoBack"/>
      <w:bookmarkEnd w:id="0"/>
    </w:p>
    <w:p w:rsidR="009A318A" w:rsidRPr="00113DC3" w:rsidRDefault="009A318A" w:rsidP="009A318A">
      <w:pPr>
        <w:pStyle w:val="a7"/>
        <w:rPr>
          <w:sz w:val="18"/>
          <w:szCs w:val="18"/>
        </w:rPr>
      </w:pPr>
    </w:p>
    <w:p w:rsidR="009A318A" w:rsidRPr="00113DC3" w:rsidRDefault="009A318A" w:rsidP="009A318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A318A" w:rsidRDefault="009A318A" w:rsidP="009A318A">
      <w:pPr>
        <w:pStyle w:val="a3"/>
        <w:jc w:val="center"/>
        <w:rPr>
          <w:b/>
          <w:i/>
        </w:rPr>
      </w:pP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Е Ш Е Н И Е</w:t>
      </w:r>
    </w:p>
    <w:p w:rsidR="009A318A" w:rsidRDefault="009A318A" w:rsidP="009A318A">
      <w:pPr>
        <w:pStyle w:val="a3"/>
        <w:jc w:val="center"/>
        <w:rPr>
          <w:b/>
          <w:i/>
        </w:rPr>
      </w:pPr>
      <w:r>
        <w:rPr>
          <w:b/>
          <w:i/>
        </w:rPr>
        <w:t xml:space="preserve">Совета народных депутатов муниципального образования </w:t>
      </w:r>
    </w:p>
    <w:p w:rsidR="009A318A" w:rsidRDefault="009A318A" w:rsidP="009A318A">
      <w:pPr>
        <w:pStyle w:val="a3"/>
        <w:jc w:val="center"/>
        <w:rPr>
          <w:b/>
          <w:i/>
        </w:rPr>
      </w:pPr>
      <w:r>
        <w:rPr>
          <w:b/>
          <w:i/>
        </w:rPr>
        <w:t>«</w:t>
      </w:r>
      <w:proofErr w:type="spellStart"/>
      <w:r>
        <w:rPr>
          <w:b/>
          <w:i/>
        </w:rPr>
        <w:t>Ходзинское</w:t>
      </w:r>
      <w:proofErr w:type="spellEnd"/>
      <w:r>
        <w:rPr>
          <w:b/>
          <w:i/>
        </w:rPr>
        <w:t xml:space="preserve"> сельское поселение»</w:t>
      </w:r>
    </w:p>
    <w:p w:rsidR="009A318A" w:rsidRPr="009A318A" w:rsidRDefault="009A318A" w:rsidP="009A318A">
      <w:pPr>
        <w:pStyle w:val="a7"/>
        <w:rPr>
          <w:b/>
          <w:sz w:val="24"/>
        </w:rPr>
      </w:pPr>
    </w:p>
    <w:p w:rsidR="00B03004" w:rsidRDefault="00B03004" w:rsidP="00B03004">
      <w:pPr>
        <w:pStyle w:val="1"/>
      </w:pPr>
      <w:r>
        <w:t xml:space="preserve">О назначении </w:t>
      </w:r>
      <w:proofErr w:type="gramStart"/>
      <w:r>
        <w:t>даты выборов депутатов Совета народных депутатов муниципального</w:t>
      </w:r>
      <w:proofErr w:type="gramEnd"/>
      <w:r>
        <w:t xml:space="preserve"> образования "</w:t>
      </w:r>
      <w:proofErr w:type="spellStart"/>
      <w:r>
        <w:t>Ходзинское</w:t>
      </w:r>
      <w:proofErr w:type="spellEnd"/>
      <w:r>
        <w:t xml:space="preserve"> сельское поселение"</w:t>
      </w:r>
    </w:p>
    <w:p w:rsidR="00B03004" w:rsidRDefault="00B03004" w:rsidP="009A318A">
      <w:pPr>
        <w:pStyle w:val="1"/>
        <w:jc w:val="left"/>
      </w:pPr>
    </w:p>
    <w:p w:rsidR="00B03004" w:rsidRDefault="00B03004" w:rsidP="00B03004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Руководствуясь частью 7 ст.10 Федерального Закона “Об основных гарантиях избирательных прав и права на участие в референдуме граждан Российской Федерации”, п.6 ст.5 Закона Республики Адыгея "О выборах депутатов представительного органа муниципального образования", ст.8 Устава муниципального образования "</w:t>
      </w:r>
      <w:proofErr w:type="spellStart"/>
      <w:r>
        <w:rPr>
          <w:sz w:val="28"/>
        </w:rPr>
        <w:t>Ходзинское</w:t>
      </w:r>
      <w:proofErr w:type="spellEnd"/>
      <w:r>
        <w:rPr>
          <w:sz w:val="28"/>
        </w:rPr>
        <w:t xml:space="preserve"> сельское поселение", Совет народных депутатов муниципального образования «</w:t>
      </w:r>
      <w:proofErr w:type="spellStart"/>
      <w:r>
        <w:rPr>
          <w:sz w:val="28"/>
        </w:rPr>
        <w:t>Ходзинское</w:t>
      </w:r>
      <w:proofErr w:type="spellEnd"/>
      <w:r>
        <w:rPr>
          <w:sz w:val="28"/>
        </w:rPr>
        <w:t xml:space="preserve"> сельское поселение» </w:t>
      </w:r>
      <w:proofErr w:type="gramEnd"/>
    </w:p>
    <w:p w:rsidR="00B03004" w:rsidRDefault="00B03004" w:rsidP="00B03004">
      <w:pPr>
        <w:ind w:firstLine="708"/>
        <w:jc w:val="both"/>
        <w:rPr>
          <w:sz w:val="28"/>
        </w:rPr>
      </w:pPr>
      <w:r>
        <w:rPr>
          <w:sz w:val="28"/>
        </w:rPr>
        <w:t>Решил:</w:t>
      </w:r>
    </w:p>
    <w:p w:rsidR="00B03004" w:rsidRDefault="00B03004" w:rsidP="00B03004">
      <w:pPr>
        <w:pStyle w:val="a3"/>
      </w:pPr>
      <w:r>
        <w:tab/>
        <w:t>1. Назначить выборы депутатов Совета народных депутатов муниципального образования "</w:t>
      </w:r>
      <w:proofErr w:type="spellStart"/>
      <w:r>
        <w:t>Ходзинское</w:t>
      </w:r>
      <w:proofErr w:type="spellEnd"/>
      <w:r>
        <w:t xml:space="preserve"> сельское поселение" на 10 сентября 2017 года.</w:t>
      </w:r>
    </w:p>
    <w:p w:rsidR="00B03004" w:rsidRDefault="00B03004" w:rsidP="00B03004">
      <w:pPr>
        <w:jc w:val="both"/>
        <w:rPr>
          <w:sz w:val="28"/>
        </w:rPr>
      </w:pPr>
      <w:r>
        <w:rPr>
          <w:sz w:val="28"/>
        </w:rPr>
        <w:tab/>
        <w:t>2. Опубликовать настоящее решение в районной газете «</w:t>
      </w:r>
      <w:proofErr w:type="spellStart"/>
      <w:r>
        <w:rPr>
          <w:sz w:val="28"/>
        </w:rPr>
        <w:t>Кошехабльские</w:t>
      </w:r>
      <w:proofErr w:type="spellEnd"/>
      <w:r>
        <w:rPr>
          <w:sz w:val="28"/>
        </w:rPr>
        <w:t xml:space="preserve"> вести».</w:t>
      </w:r>
    </w:p>
    <w:p w:rsidR="009A318A" w:rsidRDefault="00B03004" w:rsidP="00B03004">
      <w:pPr>
        <w:jc w:val="both"/>
        <w:rPr>
          <w:sz w:val="28"/>
        </w:rPr>
      </w:pPr>
      <w:r>
        <w:rPr>
          <w:sz w:val="28"/>
        </w:rPr>
        <w:tab/>
        <w:t>3. Настоящее решение вступает в силу со дня его официального опубликования.</w:t>
      </w:r>
      <w:r>
        <w:rPr>
          <w:sz w:val="28"/>
        </w:rPr>
        <w:tab/>
      </w:r>
    </w:p>
    <w:p w:rsidR="00B03004" w:rsidRPr="009A318A" w:rsidRDefault="00B03004" w:rsidP="00B0300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03004" w:rsidRDefault="00B03004" w:rsidP="00B03004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  </w:t>
      </w:r>
    </w:p>
    <w:p w:rsidR="00B03004" w:rsidRDefault="00B03004" w:rsidP="00B03004">
      <w:pPr>
        <w:jc w:val="both"/>
        <w:rPr>
          <w:b/>
          <w:sz w:val="28"/>
        </w:rPr>
      </w:pPr>
      <w:r>
        <w:rPr>
          <w:b/>
          <w:sz w:val="28"/>
        </w:rPr>
        <w:t>Совета народных депутатов</w:t>
      </w:r>
    </w:p>
    <w:p w:rsidR="00B03004" w:rsidRDefault="00B03004" w:rsidP="00B03004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B03004" w:rsidRDefault="00B03004" w:rsidP="00B03004">
      <w:pPr>
        <w:jc w:val="both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Ходзинское</w:t>
      </w:r>
      <w:proofErr w:type="spellEnd"/>
      <w:r>
        <w:rPr>
          <w:b/>
          <w:sz w:val="28"/>
        </w:rPr>
        <w:t xml:space="preserve"> сельское поселение»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Р.М.Тлостнаков</w:t>
      </w:r>
      <w:proofErr w:type="spellEnd"/>
    </w:p>
    <w:p w:rsidR="00B03004" w:rsidRDefault="00B03004" w:rsidP="00B0300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B03004" w:rsidRDefault="00B03004" w:rsidP="00B03004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B03004" w:rsidRDefault="00B03004" w:rsidP="00B03004">
      <w:pPr>
        <w:rPr>
          <w:bCs/>
          <w:sz w:val="28"/>
        </w:rPr>
      </w:pPr>
      <w:r>
        <w:rPr>
          <w:bCs/>
          <w:sz w:val="28"/>
        </w:rPr>
        <w:t xml:space="preserve"> а.</w:t>
      </w:r>
      <w:r w:rsidR="009A318A">
        <w:rPr>
          <w:bCs/>
          <w:sz w:val="28"/>
        </w:rPr>
        <w:t xml:space="preserve"> </w:t>
      </w:r>
      <w:r>
        <w:rPr>
          <w:bCs/>
          <w:sz w:val="28"/>
        </w:rPr>
        <w:t>Ходзь</w:t>
      </w:r>
    </w:p>
    <w:p w:rsidR="00B03004" w:rsidRDefault="00B03004" w:rsidP="00B03004">
      <w:pPr>
        <w:rPr>
          <w:bCs/>
          <w:sz w:val="28"/>
        </w:rPr>
      </w:pPr>
      <w:r>
        <w:rPr>
          <w:bCs/>
          <w:sz w:val="28"/>
        </w:rPr>
        <w:t>16 июня 2017 года</w:t>
      </w:r>
    </w:p>
    <w:p w:rsidR="00B03004" w:rsidRDefault="00B03004" w:rsidP="00B03004">
      <w:pPr>
        <w:rPr>
          <w:bCs/>
          <w:sz w:val="28"/>
        </w:rPr>
      </w:pPr>
      <w:r>
        <w:rPr>
          <w:bCs/>
          <w:sz w:val="28"/>
        </w:rPr>
        <w:t>№ __</w:t>
      </w:r>
      <w:r w:rsidR="00983D82">
        <w:rPr>
          <w:bCs/>
          <w:sz w:val="28"/>
          <w:u w:val="single"/>
        </w:rPr>
        <w:t>134</w:t>
      </w:r>
      <w:r>
        <w:rPr>
          <w:bCs/>
          <w:sz w:val="28"/>
        </w:rPr>
        <w:t>__</w:t>
      </w:r>
    </w:p>
    <w:p w:rsidR="00C03973" w:rsidRDefault="00C03973" w:rsidP="00B03004"/>
    <w:sectPr w:rsidR="00C0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5E"/>
    <w:rsid w:val="00551B5E"/>
    <w:rsid w:val="00983D82"/>
    <w:rsid w:val="009A318A"/>
    <w:rsid w:val="00B03004"/>
    <w:rsid w:val="00C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00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0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B030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030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03004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B0300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7">
    <w:name w:val="No Spacing"/>
    <w:uiPriority w:val="1"/>
    <w:qFormat/>
    <w:rsid w:val="009A318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Без интервала1"/>
    <w:basedOn w:val="a"/>
    <w:uiPriority w:val="67"/>
    <w:rsid w:val="009A318A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A31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1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00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0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B030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030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03004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B0300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7">
    <w:name w:val="No Spacing"/>
    <w:uiPriority w:val="1"/>
    <w:qFormat/>
    <w:rsid w:val="009A318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Без интервала1"/>
    <w:basedOn w:val="a"/>
    <w:uiPriority w:val="67"/>
    <w:rsid w:val="009A318A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A31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1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2017-06-09T05:40:00Z</cp:lastPrinted>
  <dcterms:created xsi:type="dcterms:W3CDTF">2017-06-08T07:23:00Z</dcterms:created>
  <dcterms:modified xsi:type="dcterms:W3CDTF">2017-06-09T05:43:00Z</dcterms:modified>
</cp:coreProperties>
</file>